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5C7F6" w14:textId="77777777" w:rsidR="00780315" w:rsidRDefault="00780315" w:rsidP="006E44B3">
      <w:pPr>
        <w:widowControl/>
        <w:spacing w:line="240" w:lineRule="auto"/>
        <w:ind w:firstLine="0"/>
        <w:jc w:val="center"/>
        <w:rPr>
          <w:b/>
          <w:bCs/>
        </w:rPr>
      </w:pPr>
      <w:bookmarkStart w:id="0" w:name="_GoBack"/>
      <w:bookmarkEnd w:id="0"/>
      <w:proofErr w:type="gramStart"/>
      <w:r>
        <w:rPr>
          <w:b/>
          <w:bCs/>
        </w:rPr>
        <w:t>PUC DOCKET NO.</w:t>
      </w:r>
      <w:proofErr w:type="gramEnd"/>
      <w:r>
        <w:rPr>
          <w:b/>
          <w:bCs/>
        </w:rPr>
        <w:t xml:space="preserve"> 46449</w:t>
      </w:r>
    </w:p>
    <w:p w14:paraId="24A52ABF" w14:textId="77777777" w:rsidR="00780315" w:rsidRDefault="00780315" w:rsidP="006E44B3">
      <w:pPr>
        <w:widowControl/>
        <w:spacing w:after="360" w:line="240" w:lineRule="auto"/>
        <w:ind w:firstLine="0"/>
        <w:jc w:val="center"/>
        <w:rPr>
          <w:b/>
          <w:bCs/>
        </w:rPr>
      </w:pPr>
      <w:proofErr w:type="gramStart"/>
      <w:r>
        <w:rPr>
          <w:b/>
          <w:bCs/>
        </w:rPr>
        <w:t>SOAH DOCKET NO.</w:t>
      </w:r>
      <w:proofErr w:type="gramEnd"/>
      <w:r>
        <w:rPr>
          <w:b/>
          <w:bCs/>
        </w:rPr>
        <w:t xml:space="preserve"> 473-17-1764</w:t>
      </w:r>
    </w:p>
    <w:tbl>
      <w:tblPr>
        <w:tblW w:w="0" w:type="auto"/>
        <w:tblLook w:val="01E0" w:firstRow="1" w:lastRow="1" w:firstColumn="1" w:lastColumn="1" w:noHBand="0" w:noVBand="0"/>
      </w:tblPr>
      <w:tblGrid>
        <w:gridCol w:w="4752"/>
        <w:gridCol w:w="336"/>
        <w:gridCol w:w="4488"/>
      </w:tblGrid>
      <w:tr w:rsidR="00780315" w:rsidRPr="004E7F89" w14:paraId="0F6499E7" w14:textId="77777777" w:rsidTr="00780315">
        <w:tc>
          <w:tcPr>
            <w:tcW w:w="4752" w:type="dxa"/>
          </w:tcPr>
          <w:p w14:paraId="6F6596F5" w14:textId="77777777" w:rsidR="00780315" w:rsidRDefault="00780315" w:rsidP="00FB3C68">
            <w:pPr>
              <w:widowControl/>
              <w:tabs>
                <w:tab w:val="center" w:pos="4680"/>
              </w:tabs>
              <w:spacing w:line="240" w:lineRule="auto"/>
              <w:ind w:firstLine="0"/>
              <w:jc w:val="left"/>
              <w:rPr>
                <w:b/>
                <w:bCs/>
              </w:rPr>
            </w:pPr>
            <w:r w:rsidRPr="004E7F89">
              <w:rPr>
                <w:b/>
                <w:bCs/>
              </w:rPr>
              <w:t xml:space="preserve">APPLICATION OF </w:t>
            </w:r>
            <w:r>
              <w:rPr>
                <w:b/>
                <w:bCs/>
              </w:rPr>
              <w:t>SOUTHWESTERN</w:t>
            </w:r>
          </w:p>
          <w:p w14:paraId="275D3056" w14:textId="77777777" w:rsidR="00780315" w:rsidRDefault="00780315" w:rsidP="00FB3C68">
            <w:pPr>
              <w:widowControl/>
              <w:tabs>
                <w:tab w:val="center" w:pos="4680"/>
              </w:tabs>
              <w:spacing w:line="240" w:lineRule="auto"/>
              <w:ind w:firstLine="0"/>
              <w:rPr>
                <w:b/>
                <w:bCs/>
              </w:rPr>
            </w:pPr>
            <w:r>
              <w:rPr>
                <w:b/>
                <w:bCs/>
              </w:rPr>
              <w:t>ELECTRIC POWER COMPANY FOR</w:t>
            </w:r>
          </w:p>
          <w:p w14:paraId="3D142C55" w14:textId="77777777" w:rsidR="00780315" w:rsidRPr="004E7F89" w:rsidRDefault="00780315" w:rsidP="00FB3C68">
            <w:pPr>
              <w:widowControl/>
              <w:tabs>
                <w:tab w:val="center" w:pos="4680"/>
              </w:tabs>
              <w:spacing w:line="240" w:lineRule="auto"/>
              <w:ind w:firstLine="0"/>
              <w:rPr>
                <w:b/>
                <w:bCs/>
              </w:rPr>
            </w:pPr>
            <w:r>
              <w:rPr>
                <w:b/>
                <w:bCs/>
              </w:rPr>
              <w:t>AUTHORITY TO CHANGE RATES</w:t>
            </w:r>
          </w:p>
        </w:tc>
        <w:tc>
          <w:tcPr>
            <w:tcW w:w="336" w:type="dxa"/>
          </w:tcPr>
          <w:p w14:paraId="49F59198" w14:textId="77777777" w:rsidR="00780315" w:rsidRDefault="00780315" w:rsidP="00FB3C68">
            <w:pPr>
              <w:widowControl/>
              <w:tabs>
                <w:tab w:val="center" w:pos="4680"/>
              </w:tabs>
              <w:spacing w:line="240" w:lineRule="auto"/>
              <w:ind w:firstLine="0"/>
              <w:rPr>
                <w:b/>
                <w:bCs/>
              </w:rPr>
            </w:pPr>
            <w:r w:rsidRPr="004E7F89">
              <w:rPr>
                <w:b/>
                <w:bCs/>
              </w:rPr>
              <w:t>§</w:t>
            </w:r>
          </w:p>
          <w:p w14:paraId="6CDF5074" w14:textId="77777777" w:rsidR="00780315" w:rsidRDefault="00780315" w:rsidP="00FB3C68">
            <w:pPr>
              <w:widowControl/>
              <w:tabs>
                <w:tab w:val="center" w:pos="4680"/>
              </w:tabs>
              <w:spacing w:line="240" w:lineRule="auto"/>
              <w:ind w:firstLine="0"/>
              <w:rPr>
                <w:b/>
                <w:bCs/>
              </w:rPr>
            </w:pPr>
            <w:r w:rsidRPr="004E7F89">
              <w:rPr>
                <w:b/>
                <w:bCs/>
              </w:rPr>
              <w:t>§</w:t>
            </w:r>
          </w:p>
          <w:p w14:paraId="4E1E62FB" w14:textId="77777777" w:rsidR="00780315" w:rsidRPr="004E7F89" w:rsidRDefault="00780315" w:rsidP="00FB3C68">
            <w:pPr>
              <w:widowControl/>
              <w:tabs>
                <w:tab w:val="center" w:pos="4680"/>
              </w:tabs>
              <w:spacing w:line="240" w:lineRule="auto"/>
              <w:ind w:firstLine="0"/>
              <w:rPr>
                <w:b/>
                <w:bCs/>
              </w:rPr>
            </w:pPr>
            <w:r w:rsidRPr="004E7F89">
              <w:rPr>
                <w:b/>
                <w:bCs/>
              </w:rPr>
              <w:t>§</w:t>
            </w:r>
          </w:p>
        </w:tc>
        <w:tc>
          <w:tcPr>
            <w:tcW w:w="4488" w:type="dxa"/>
          </w:tcPr>
          <w:p w14:paraId="7EC82626" w14:textId="77777777" w:rsidR="00780315" w:rsidRDefault="00780315" w:rsidP="006E44B3">
            <w:pPr>
              <w:widowControl/>
              <w:tabs>
                <w:tab w:val="center" w:pos="4680"/>
              </w:tabs>
              <w:spacing w:line="240" w:lineRule="auto"/>
              <w:ind w:left="42" w:firstLine="0"/>
              <w:jc w:val="center"/>
              <w:rPr>
                <w:b/>
                <w:bCs/>
              </w:rPr>
            </w:pPr>
            <w:r>
              <w:rPr>
                <w:b/>
                <w:bCs/>
              </w:rPr>
              <w:t>BEFORE THE PUBLIC UTILITY</w:t>
            </w:r>
          </w:p>
          <w:p w14:paraId="5F6C8061" w14:textId="77777777" w:rsidR="00780315" w:rsidRDefault="00780315" w:rsidP="00FB3C68">
            <w:pPr>
              <w:widowControl/>
              <w:tabs>
                <w:tab w:val="center" w:pos="4680"/>
              </w:tabs>
              <w:spacing w:line="240" w:lineRule="auto"/>
              <w:jc w:val="center"/>
              <w:rPr>
                <w:b/>
                <w:bCs/>
              </w:rPr>
            </w:pPr>
          </w:p>
          <w:p w14:paraId="6085FDC0" w14:textId="77777777" w:rsidR="00780315" w:rsidRPr="004E7F89" w:rsidRDefault="00780315" w:rsidP="006E44B3">
            <w:pPr>
              <w:widowControl/>
              <w:tabs>
                <w:tab w:val="center" w:pos="4680"/>
              </w:tabs>
              <w:spacing w:line="240" w:lineRule="auto"/>
              <w:ind w:left="42" w:firstLine="0"/>
              <w:jc w:val="center"/>
              <w:rPr>
                <w:b/>
                <w:bCs/>
              </w:rPr>
            </w:pPr>
            <w:r>
              <w:rPr>
                <w:b/>
                <w:bCs/>
              </w:rPr>
              <w:t>COMMISSION OF TEXAS</w:t>
            </w:r>
          </w:p>
        </w:tc>
      </w:tr>
    </w:tbl>
    <w:p w14:paraId="2170DCA8" w14:textId="77777777" w:rsidR="001E5D10" w:rsidRDefault="001E5D10" w:rsidP="00FB3C68">
      <w:pPr>
        <w:widowControl/>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spacing w:line="240" w:lineRule="auto"/>
        <w:jc w:val="center"/>
        <w:rPr>
          <w:b/>
          <w:bCs/>
        </w:rPr>
      </w:pPr>
    </w:p>
    <w:p w14:paraId="01CDD32E" w14:textId="77777777" w:rsidR="001E5D10" w:rsidRDefault="001E5D10" w:rsidP="006E44B3">
      <w:pPr>
        <w:widowControl/>
        <w:spacing w:line="240" w:lineRule="auto"/>
        <w:ind w:firstLine="0"/>
        <w:jc w:val="center"/>
        <w:rPr>
          <w:b/>
          <w:bCs/>
        </w:rPr>
      </w:pPr>
      <w:r>
        <w:rPr>
          <w:b/>
          <w:bCs/>
        </w:rPr>
        <w:t>SOUTHWESTERN ELECTRIC POWER COMPANY’S</w:t>
      </w:r>
    </w:p>
    <w:p w14:paraId="502B3D63" w14:textId="77777777" w:rsidR="001E5D10" w:rsidRDefault="001E5D10" w:rsidP="006E44B3">
      <w:pPr>
        <w:widowControl/>
        <w:spacing w:line="240" w:lineRule="auto"/>
        <w:ind w:firstLine="0"/>
        <w:jc w:val="center"/>
        <w:rPr>
          <w:b/>
          <w:bCs/>
          <w:u w:val="single"/>
        </w:rPr>
      </w:pPr>
      <w:r w:rsidRPr="00780315">
        <w:rPr>
          <w:b/>
          <w:bCs/>
          <w:u w:val="single"/>
        </w:rPr>
        <w:t>REPL</w:t>
      </w:r>
      <w:r w:rsidR="00727878">
        <w:rPr>
          <w:b/>
          <w:bCs/>
          <w:u w:val="single"/>
        </w:rPr>
        <w:t>Y</w:t>
      </w:r>
      <w:r w:rsidRPr="00780315">
        <w:rPr>
          <w:b/>
          <w:bCs/>
          <w:u w:val="single"/>
        </w:rPr>
        <w:t xml:space="preserve"> TO THE EXCEPTIONS TO THE PROPOSAL FOR DECISION</w:t>
      </w:r>
    </w:p>
    <w:p w14:paraId="25DEE938" w14:textId="77777777" w:rsidR="00675321" w:rsidRDefault="00675321" w:rsidP="00FB3C68">
      <w:pPr>
        <w:widowControl/>
        <w:tabs>
          <w:tab w:val="center" w:pos="4680"/>
        </w:tabs>
        <w:spacing w:line="240" w:lineRule="auto"/>
        <w:rPr>
          <w:b/>
          <w:bCs/>
        </w:rPr>
      </w:pPr>
    </w:p>
    <w:p w14:paraId="73A5C330" w14:textId="77777777" w:rsidR="00754B9B" w:rsidRDefault="001B3A20" w:rsidP="00E815A3">
      <w:pPr>
        <w:pStyle w:val="BodyText"/>
        <w:spacing w:line="276" w:lineRule="auto"/>
        <w:ind w:firstLine="0"/>
        <w:jc w:val="center"/>
        <w:rPr>
          <w:b/>
        </w:rPr>
      </w:pPr>
      <w:r w:rsidRPr="00754B9B">
        <w:rPr>
          <w:b/>
        </w:rPr>
        <w:t>TABLE OF CONTENTS</w:t>
      </w:r>
    </w:p>
    <w:p w14:paraId="393DEAF8" w14:textId="77777777" w:rsidR="00B135D7" w:rsidRDefault="00466C4B">
      <w:pPr>
        <w:pStyle w:val="TOC1"/>
        <w:rPr>
          <w:rFonts w:asciiTheme="minorHAnsi" w:eastAsiaTheme="minorEastAsia" w:hAnsiTheme="minorHAnsi"/>
          <w:b w:val="0"/>
          <w:sz w:val="22"/>
          <w:szCs w:val="22"/>
        </w:rPr>
      </w:pPr>
      <w:r w:rsidRPr="00D43237">
        <w:rPr>
          <w:rFonts w:cs="Times New Roman"/>
        </w:rPr>
        <w:fldChar w:fldCharType="begin"/>
      </w:r>
      <w:r w:rsidRPr="00D43237">
        <w:rPr>
          <w:rFonts w:cs="Times New Roman"/>
        </w:rPr>
        <w:instrText xml:space="preserve"> TOC \o "1-7" \h \z \u </w:instrText>
      </w:r>
      <w:r w:rsidRPr="00D43237">
        <w:rPr>
          <w:rFonts w:cs="Times New Roman"/>
        </w:rPr>
        <w:fldChar w:fldCharType="separate"/>
      </w:r>
      <w:hyperlink w:anchor="_Toc497123812" w:history="1">
        <w:r w:rsidR="00B135D7" w:rsidRPr="00B76004">
          <w:rPr>
            <w:rStyle w:val="Hyperlink"/>
            <w:rFonts w:ascii="Times New Roman Bold" w:hAnsi="Times New Roman Bold"/>
          </w:rPr>
          <w:t>I.</w:t>
        </w:r>
        <w:r w:rsidR="00B135D7">
          <w:rPr>
            <w:rFonts w:asciiTheme="minorHAnsi" w:eastAsiaTheme="minorEastAsia" w:hAnsiTheme="minorHAnsi"/>
            <w:b w:val="0"/>
            <w:sz w:val="22"/>
            <w:szCs w:val="22"/>
          </w:rPr>
          <w:tab/>
        </w:r>
        <w:r w:rsidR="00B135D7" w:rsidRPr="00B76004">
          <w:rPr>
            <w:rStyle w:val="Hyperlink"/>
          </w:rPr>
          <w:t>INTRODUCTION</w:t>
        </w:r>
        <w:r w:rsidR="00B135D7">
          <w:rPr>
            <w:webHidden/>
          </w:rPr>
          <w:tab/>
        </w:r>
        <w:r w:rsidR="00B135D7">
          <w:rPr>
            <w:webHidden/>
          </w:rPr>
          <w:fldChar w:fldCharType="begin"/>
        </w:r>
        <w:r w:rsidR="00B135D7">
          <w:rPr>
            <w:webHidden/>
          </w:rPr>
          <w:instrText xml:space="preserve"> PAGEREF _Toc497123812 \h </w:instrText>
        </w:r>
        <w:r w:rsidR="00B135D7">
          <w:rPr>
            <w:webHidden/>
          </w:rPr>
        </w:r>
        <w:r w:rsidR="00B135D7">
          <w:rPr>
            <w:webHidden/>
          </w:rPr>
          <w:fldChar w:fldCharType="separate"/>
        </w:r>
        <w:r w:rsidR="00D66FE8">
          <w:rPr>
            <w:webHidden/>
          </w:rPr>
          <w:t>1</w:t>
        </w:r>
        <w:r w:rsidR="00B135D7">
          <w:rPr>
            <w:webHidden/>
          </w:rPr>
          <w:fldChar w:fldCharType="end"/>
        </w:r>
      </w:hyperlink>
    </w:p>
    <w:p w14:paraId="176C008A" w14:textId="77777777" w:rsidR="00B135D7" w:rsidRDefault="00BF1EC4">
      <w:pPr>
        <w:pStyle w:val="TOC1"/>
        <w:rPr>
          <w:rFonts w:asciiTheme="minorHAnsi" w:eastAsiaTheme="minorEastAsia" w:hAnsiTheme="minorHAnsi"/>
          <w:b w:val="0"/>
          <w:sz w:val="22"/>
          <w:szCs w:val="22"/>
        </w:rPr>
      </w:pPr>
      <w:hyperlink w:anchor="_Toc497123813" w:history="1">
        <w:r w:rsidR="00B135D7" w:rsidRPr="00B76004">
          <w:rPr>
            <w:rStyle w:val="Hyperlink"/>
            <w:rFonts w:ascii="Times New Roman Bold" w:hAnsi="Times New Roman Bold"/>
          </w:rPr>
          <w:t>V.</w:t>
        </w:r>
        <w:r w:rsidR="00B135D7">
          <w:rPr>
            <w:rFonts w:asciiTheme="minorHAnsi" w:eastAsiaTheme="minorEastAsia" w:hAnsiTheme="minorHAnsi"/>
            <w:b w:val="0"/>
            <w:sz w:val="22"/>
            <w:szCs w:val="22"/>
          </w:rPr>
          <w:tab/>
        </w:r>
        <w:r w:rsidR="00B135D7" w:rsidRPr="00B76004">
          <w:rPr>
            <w:rStyle w:val="Hyperlink"/>
          </w:rPr>
          <w:t>RATE BASE</w:t>
        </w:r>
        <w:r w:rsidR="00B135D7">
          <w:rPr>
            <w:webHidden/>
          </w:rPr>
          <w:tab/>
        </w:r>
        <w:r w:rsidR="00B135D7">
          <w:rPr>
            <w:webHidden/>
          </w:rPr>
          <w:fldChar w:fldCharType="begin"/>
        </w:r>
        <w:r w:rsidR="00B135D7">
          <w:rPr>
            <w:webHidden/>
          </w:rPr>
          <w:instrText xml:space="preserve"> PAGEREF _Toc497123813 \h </w:instrText>
        </w:r>
        <w:r w:rsidR="00B135D7">
          <w:rPr>
            <w:webHidden/>
          </w:rPr>
        </w:r>
        <w:r w:rsidR="00B135D7">
          <w:rPr>
            <w:webHidden/>
          </w:rPr>
          <w:fldChar w:fldCharType="separate"/>
        </w:r>
        <w:r w:rsidR="00D66FE8">
          <w:rPr>
            <w:webHidden/>
          </w:rPr>
          <w:t>1</w:t>
        </w:r>
        <w:r w:rsidR="00B135D7">
          <w:rPr>
            <w:webHidden/>
          </w:rPr>
          <w:fldChar w:fldCharType="end"/>
        </w:r>
      </w:hyperlink>
    </w:p>
    <w:p w14:paraId="255D7CCF" w14:textId="77777777" w:rsidR="00B135D7" w:rsidRDefault="00BF1EC4">
      <w:pPr>
        <w:pStyle w:val="TOC2"/>
        <w:tabs>
          <w:tab w:val="left" w:pos="1440"/>
        </w:tabs>
        <w:rPr>
          <w:rFonts w:asciiTheme="minorHAnsi" w:eastAsiaTheme="minorEastAsia" w:hAnsiTheme="minorHAnsi"/>
          <w:b w:val="0"/>
          <w:sz w:val="22"/>
          <w:szCs w:val="22"/>
        </w:rPr>
      </w:pPr>
      <w:hyperlink w:anchor="_Toc497123814" w:history="1">
        <w:r w:rsidR="00B135D7" w:rsidRPr="00B76004">
          <w:rPr>
            <w:rStyle w:val="Hyperlink"/>
          </w:rPr>
          <w:t>A.</w:t>
        </w:r>
        <w:r w:rsidR="00B135D7">
          <w:rPr>
            <w:rFonts w:asciiTheme="minorHAnsi" w:eastAsiaTheme="minorEastAsia" w:hAnsiTheme="minorHAnsi"/>
            <w:b w:val="0"/>
            <w:sz w:val="22"/>
            <w:szCs w:val="22"/>
          </w:rPr>
          <w:tab/>
        </w:r>
        <w:r w:rsidR="00B135D7" w:rsidRPr="00B76004">
          <w:rPr>
            <w:rStyle w:val="Hyperlink"/>
          </w:rPr>
          <w:t>Prudence of Environmental Control Investment</w:t>
        </w:r>
        <w:r w:rsidR="00B135D7">
          <w:rPr>
            <w:webHidden/>
          </w:rPr>
          <w:tab/>
        </w:r>
        <w:r w:rsidR="00B135D7">
          <w:rPr>
            <w:webHidden/>
          </w:rPr>
          <w:fldChar w:fldCharType="begin"/>
        </w:r>
        <w:r w:rsidR="00B135D7">
          <w:rPr>
            <w:webHidden/>
          </w:rPr>
          <w:instrText xml:space="preserve"> PAGEREF _Toc497123814 \h </w:instrText>
        </w:r>
        <w:r w:rsidR="00B135D7">
          <w:rPr>
            <w:webHidden/>
          </w:rPr>
        </w:r>
        <w:r w:rsidR="00B135D7">
          <w:rPr>
            <w:webHidden/>
          </w:rPr>
          <w:fldChar w:fldCharType="separate"/>
        </w:r>
        <w:r w:rsidR="00D66FE8">
          <w:rPr>
            <w:webHidden/>
          </w:rPr>
          <w:t>1</w:t>
        </w:r>
        <w:r w:rsidR="00B135D7">
          <w:rPr>
            <w:webHidden/>
          </w:rPr>
          <w:fldChar w:fldCharType="end"/>
        </w:r>
      </w:hyperlink>
    </w:p>
    <w:p w14:paraId="0E89E067" w14:textId="77777777" w:rsidR="00B135D7" w:rsidRDefault="00BF1EC4">
      <w:pPr>
        <w:pStyle w:val="TOC3"/>
        <w:tabs>
          <w:tab w:val="left" w:pos="2160"/>
        </w:tabs>
        <w:rPr>
          <w:rFonts w:asciiTheme="minorHAnsi" w:eastAsiaTheme="minorEastAsia" w:hAnsiTheme="minorHAnsi"/>
          <w:b w:val="0"/>
          <w:noProof/>
          <w:sz w:val="22"/>
          <w:szCs w:val="22"/>
        </w:rPr>
      </w:pPr>
      <w:hyperlink w:anchor="_Toc497123815"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Dolet Hills Power Station</w:t>
        </w:r>
        <w:r w:rsidR="00B135D7">
          <w:rPr>
            <w:noProof/>
            <w:webHidden/>
          </w:rPr>
          <w:tab/>
        </w:r>
        <w:r w:rsidR="00B135D7">
          <w:rPr>
            <w:noProof/>
            <w:webHidden/>
          </w:rPr>
          <w:fldChar w:fldCharType="begin"/>
        </w:r>
        <w:r w:rsidR="00B135D7">
          <w:rPr>
            <w:noProof/>
            <w:webHidden/>
          </w:rPr>
          <w:instrText xml:space="preserve"> PAGEREF _Toc497123815 \h </w:instrText>
        </w:r>
        <w:r w:rsidR="00B135D7">
          <w:rPr>
            <w:noProof/>
            <w:webHidden/>
          </w:rPr>
        </w:r>
        <w:r w:rsidR="00B135D7">
          <w:rPr>
            <w:noProof/>
            <w:webHidden/>
          </w:rPr>
          <w:fldChar w:fldCharType="separate"/>
        </w:r>
        <w:r w:rsidR="00D66FE8">
          <w:rPr>
            <w:noProof/>
            <w:webHidden/>
          </w:rPr>
          <w:t>1</w:t>
        </w:r>
        <w:r w:rsidR="00B135D7">
          <w:rPr>
            <w:noProof/>
            <w:webHidden/>
          </w:rPr>
          <w:fldChar w:fldCharType="end"/>
        </w:r>
      </w:hyperlink>
    </w:p>
    <w:p w14:paraId="5A7282AB" w14:textId="77777777" w:rsidR="00B135D7" w:rsidRDefault="00BF1EC4">
      <w:pPr>
        <w:pStyle w:val="TOC3"/>
        <w:tabs>
          <w:tab w:val="left" w:pos="2160"/>
        </w:tabs>
        <w:rPr>
          <w:rFonts w:asciiTheme="minorHAnsi" w:eastAsiaTheme="minorEastAsia" w:hAnsiTheme="minorHAnsi"/>
          <w:b w:val="0"/>
          <w:noProof/>
          <w:sz w:val="22"/>
          <w:szCs w:val="22"/>
        </w:rPr>
      </w:pPr>
      <w:hyperlink w:anchor="_Toc497123816" w:history="1">
        <w:r w:rsidR="00B135D7" w:rsidRPr="00B76004">
          <w:rPr>
            <w:rStyle w:val="Hyperlink"/>
            <w:noProof/>
          </w:rPr>
          <w:t>2.</w:t>
        </w:r>
        <w:r w:rsidR="00B135D7">
          <w:rPr>
            <w:rFonts w:asciiTheme="minorHAnsi" w:eastAsiaTheme="minorEastAsia" w:hAnsiTheme="minorHAnsi"/>
            <w:b w:val="0"/>
            <w:noProof/>
            <w:sz w:val="22"/>
            <w:szCs w:val="22"/>
          </w:rPr>
          <w:tab/>
        </w:r>
        <w:r w:rsidR="00B135D7" w:rsidRPr="00B76004">
          <w:rPr>
            <w:rStyle w:val="Hyperlink"/>
            <w:noProof/>
          </w:rPr>
          <w:t>Flint Creek, Pirkey and Welsh Units 1 &amp; 3</w:t>
        </w:r>
        <w:r w:rsidR="00B135D7">
          <w:rPr>
            <w:noProof/>
            <w:webHidden/>
          </w:rPr>
          <w:tab/>
        </w:r>
        <w:r w:rsidR="00B135D7">
          <w:rPr>
            <w:noProof/>
            <w:webHidden/>
          </w:rPr>
          <w:fldChar w:fldCharType="begin"/>
        </w:r>
        <w:r w:rsidR="00B135D7">
          <w:rPr>
            <w:noProof/>
            <w:webHidden/>
          </w:rPr>
          <w:instrText xml:space="preserve"> PAGEREF _Toc497123816 \h </w:instrText>
        </w:r>
        <w:r w:rsidR="00B135D7">
          <w:rPr>
            <w:noProof/>
            <w:webHidden/>
          </w:rPr>
        </w:r>
        <w:r w:rsidR="00B135D7">
          <w:rPr>
            <w:noProof/>
            <w:webHidden/>
          </w:rPr>
          <w:fldChar w:fldCharType="separate"/>
        </w:r>
        <w:r w:rsidR="00D66FE8">
          <w:rPr>
            <w:noProof/>
            <w:webHidden/>
          </w:rPr>
          <w:t>21</w:t>
        </w:r>
        <w:r w:rsidR="00B135D7">
          <w:rPr>
            <w:noProof/>
            <w:webHidden/>
          </w:rPr>
          <w:fldChar w:fldCharType="end"/>
        </w:r>
      </w:hyperlink>
    </w:p>
    <w:p w14:paraId="760BBD40" w14:textId="77777777" w:rsidR="00B135D7" w:rsidRDefault="00BF1EC4">
      <w:pPr>
        <w:pStyle w:val="TOC2"/>
        <w:tabs>
          <w:tab w:val="left" w:pos="1440"/>
        </w:tabs>
        <w:rPr>
          <w:rFonts w:asciiTheme="minorHAnsi" w:eastAsiaTheme="minorEastAsia" w:hAnsiTheme="minorHAnsi"/>
          <w:b w:val="0"/>
          <w:sz w:val="22"/>
          <w:szCs w:val="22"/>
        </w:rPr>
      </w:pPr>
      <w:hyperlink w:anchor="_Toc497123817"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Welsh Unit 2 Retirement</w:t>
        </w:r>
        <w:r w:rsidR="00B135D7">
          <w:rPr>
            <w:webHidden/>
          </w:rPr>
          <w:tab/>
        </w:r>
        <w:r w:rsidR="00B135D7">
          <w:rPr>
            <w:webHidden/>
          </w:rPr>
          <w:fldChar w:fldCharType="begin"/>
        </w:r>
        <w:r w:rsidR="00B135D7">
          <w:rPr>
            <w:webHidden/>
          </w:rPr>
          <w:instrText xml:space="preserve"> PAGEREF _Toc497123817 \h </w:instrText>
        </w:r>
        <w:r w:rsidR="00B135D7">
          <w:rPr>
            <w:webHidden/>
          </w:rPr>
        </w:r>
        <w:r w:rsidR="00B135D7">
          <w:rPr>
            <w:webHidden/>
          </w:rPr>
          <w:fldChar w:fldCharType="separate"/>
        </w:r>
        <w:r w:rsidR="00D66FE8">
          <w:rPr>
            <w:webHidden/>
          </w:rPr>
          <w:t>33</w:t>
        </w:r>
        <w:r w:rsidR="00B135D7">
          <w:rPr>
            <w:webHidden/>
          </w:rPr>
          <w:fldChar w:fldCharType="end"/>
        </w:r>
      </w:hyperlink>
    </w:p>
    <w:p w14:paraId="3B682601" w14:textId="77777777" w:rsidR="00B135D7" w:rsidRDefault="00BF1EC4">
      <w:pPr>
        <w:pStyle w:val="TOC3"/>
        <w:tabs>
          <w:tab w:val="left" w:pos="2160"/>
        </w:tabs>
        <w:rPr>
          <w:rFonts w:asciiTheme="minorHAnsi" w:eastAsiaTheme="minorEastAsia" w:hAnsiTheme="minorHAnsi"/>
          <w:b w:val="0"/>
          <w:noProof/>
          <w:sz w:val="22"/>
          <w:szCs w:val="22"/>
        </w:rPr>
      </w:pPr>
      <w:hyperlink w:anchor="_Toc497123818"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Prudence of Retirement of Welsh Unit 2</w:t>
        </w:r>
        <w:r w:rsidR="00B135D7">
          <w:rPr>
            <w:noProof/>
            <w:webHidden/>
          </w:rPr>
          <w:tab/>
        </w:r>
        <w:r w:rsidR="00B135D7">
          <w:rPr>
            <w:noProof/>
            <w:webHidden/>
          </w:rPr>
          <w:fldChar w:fldCharType="begin"/>
        </w:r>
        <w:r w:rsidR="00B135D7">
          <w:rPr>
            <w:noProof/>
            <w:webHidden/>
          </w:rPr>
          <w:instrText xml:space="preserve"> PAGEREF _Toc497123818 \h </w:instrText>
        </w:r>
        <w:r w:rsidR="00B135D7">
          <w:rPr>
            <w:noProof/>
            <w:webHidden/>
          </w:rPr>
        </w:r>
        <w:r w:rsidR="00B135D7">
          <w:rPr>
            <w:noProof/>
            <w:webHidden/>
          </w:rPr>
          <w:fldChar w:fldCharType="separate"/>
        </w:r>
        <w:r w:rsidR="00D66FE8">
          <w:rPr>
            <w:noProof/>
            <w:webHidden/>
          </w:rPr>
          <w:t>33</w:t>
        </w:r>
        <w:r w:rsidR="00B135D7">
          <w:rPr>
            <w:noProof/>
            <w:webHidden/>
          </w:rPr>
          <w:fldChar w:fldCharType="end"/>
        </w:r>
      </w:hyperlink>
    </w:p>
    <w:p w14:paraId="2586C177" w14:textId="77777777" w:rsidR="00B135D7" w:rsidRDefault="00BF1EC4">
      <w:pPr>
        <w:pStyle w:val="TOC4"/>
        <w:tabs>
          <w:tab w:val="left" w:pos="2880"/>
        </w:tabs>
        <w:rPr>
          <w:rFonts w:asciiTheme="minorHAnsi" w:eastAsiaTheme="minorEastAsia" w:hAnsiTheme="minorHAnsi"/>
          <w:b w:val="0"/>
          <w:sz w:val="22"/>
          <w:szCs w:val="22"/>
        </w:rPr>
      </w:pPr>
      <w:hyperlink w:anchor="_Toc497123819"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December 2011 Sierra Club Settlement ($14 Million)</w:t>
        </w:r>
        <w:r w:rsidR="00B135D7">
          <w:rPr>
            <w:webHidden/>
          </w:rPr>
          <w:tab/>
        </w:r>
        <w:r w:rsidR="00B135D7">
          <w:rPr>
            <w:webHidden/>
          </w:rPr>
          <w:fldChar w:fldCharType="begin"/>
        </w:r>
        <w:r w:rsidR="00B135D7">
          <w:rPr>
            <w:webHidden/>
          </w:rPr>
          <w:instrText xml:space="preserve"> PAGEREF _Toc497123819 \h </w:instrText>
        </w:r>
        <w:r w:rsidR="00B135D7">
          <w:rPr>
            <w:webHidden/>
          </w:rPr>
        </w:r>
        <w:r w:rsidR="00B135D7">
          <w:rPr>
            <w:webHidden/>
          </w:rPr>
          <w:fldChar w:fldCharType="separate"/>
        </w:r>
        <w:r w:rsidR="00D66FE8">
          <w:rPr>
            <w:webHidden/>
          </w:rPr>
          <w:t>44</w:t>
        </w:r>
        <w:r w:rsidR="00B135D7">
          <w:rPr>
            <w:webHidden/>
          </w:rPr>
          <w:fldChar w:fldCharType="end"/>
        </w:r>
      </w:hyperlink>
    </w:p>
    <w:p w14:paraId="3DB8C88C" w14:textId="77777777" w:rsidR="00B135D7" w:rsidRDefault="00BF1EC4">
      <w:pPr>
        <w:pStyle w:val="TOC3"/>
        <w:tabs>
          <w:tab w:val="left" w:pos="2160"/>
        </w:tabs>
        <w:rPr>
          <w:rFonts w:asciiTheme="minorHAnsi" w:eastAsiaTheme="minorEastAsia" w:hAnsiTheme="minorHAnsi"/>
          <w:b w:val="0"/>
          <w:noProof/>
          <w:sz w:val="22"/>
          <w:szCs w:val="22"/>
        </w:rPr>
      </w:pPr>
      <w:hyperlink w:anchor="_Toc497123820" w:history="1">
        <w:r w:rsidR="00B135D7" w:rsidRPr="00B76004">
          <w:rPr>
            <w:rStyle w:val="Hyperlink"/>
            <w:noProof/>
          </w:rPr>
          <w:t>2.</w:t>
        </w:r>
        <w:r w:rsidR="00B135D7">
          <w:rPr>
            <w:rFonts w:asciiTheme="minorHAnsi" w:eastAsiaTheme="minorEastAsia" w:hAnsiTheme="minorHAnsi"/>
            <w:b w:val="0"/>
            <w:noProof/>
            <w:sz w:val="22"/>
            <w:szCs w:val="22"/>
          </w:rPr>
          <w:tab/>
        </w:r>
        <w:r w:rsidR="00B135D7" w:rsidRPr="00B76004">
          <w:rPr>
            <w:rStyle w:val="Hyperlink"/>
            <w:noProof/>
          </w:rPr>
          <w:t>Appropriate Ratemaking Treatment for Welsh Unit 2</w:t>
        </w:r>
        <w:r w:rsidR="00B135D7">
          <w:rPr>
            <w:noProof/>
            <w:webHidden/>
          </w:rPr>
          <w:tab/>
        </w:r>
        <w:r w:rsidR="00B135D7">
          <w:rPr>
            <w:noProof/>
            <w:webHidden/>
          </w:rPr>
          <w:fldChar w:fldCharType="begin"/>
        </w:r>
        <w:r w:rsidR="00B135D7">
          <w:rPr>
            <w:noProof/>
            <w:webHidden/>
          </w:rPr>
          <w:instrText xml:space="preserve"> PAGEREF _Toc497123820 \h </w:instrText>
        </w:r>
        <w:r w:rsidR="00B135D7">
          <w:rPr>
            <w:noProof/>
            <w:webHidden/>
          </w:rPr>
        </w:r>
        <w:r w:rsidR="00B135D7">
          <w:rPr>
            <w:noProof/>
            <w:webHidden/>
          </w:rPr>
          <w:fldChar w:fldCharType="separate"/>
        </w:r>
        <w:r w:rsidR="00D66FE8">
          <w:rPr>
            <w:noProof/>
            <w:webHidden/>
          </w:rPr>
          <w:t>49</w:t>
        </w:r>
        <w:r w:rsidR="00B135D7">
          <w:rPr>
            <w:noProof/>
            <w:webHidden/>
          </w:rPr>
          <w:fldChar w:fldCharType="end"/>
        </w:r>
      </w:hyperlink>
    </w:p>
    <w:p w14:paraId="74F28649" w14:textId="77777777" w:rsidR="00B135D7" w:rsidRDefault="00BF1EC4">
      <w:pPr>
        <w:pStyle w:val="TOC2"/>
        <w:tabs>
          <w:tab w:val="left" w:pos="1440"/>
        </w:tabs>
        <w:rPr>
          <w:rFonts w:asciiTheme="minorHAnsi" w:eastAsiaTheme="minorEastAsia" w:hAnsiTheme="minorHAnsi"/>
          <w:b w:val="0"/>
          <w:sz w:val="22"/>
          <w:szCs w:val="22"/>
        </w:rPr>
      </w:pPr>
      <w:hyperlink w:anchor="_Toc497123821" w:history="1">
        <w:r w:rsidR="00B135D7" w:rsidRPr="00B76004">
          <w:rPr>
            <w:rStyle w:val="Hyperlink"/>
          </w:rPr>
          <w:t>C.</w:t>
        </w:r>
        <w:r w:rsidR="00B135D7">
          <w:rPr>
            <w:rFonts w:asciiTheme="minorHAnsi" w:eastAsiaTheme="minorEastAsia" w:hAnsiTheme="minorHAnsi"/>
            <w:b w:val="0"/>
            <w:sz w:val="22"/>
            <w:szCs w:val="22"/>
          </w:rPr>
          <w:tab/>
        </w:r>
        <w:r w:rsidR="00B135D7" w:rsidRPr="00B76004">
          <w:rPr>
            <w:rStyle w:val="Hyperlink"/>
          </w:rPr>
          <w:t>Turk Power Plant Cost Cap</w:t>
        </w:r>
        <w:r w:rsidR="00B135D7">
          <w:rPr>
            <w:webHidden/>
          </w:rPr>
          <w:tab/>
        </w:r>
        <w:r w:rsidR="00B135D7">
          <w:rPr>
            <w:webHidden/>
          </w:rPr>
          <w:fldChar w:fldCharType="begin"/>
        </w:r>
        <w:r w:rsidR="00B135D7">
          <w:rPr>
            <w:webHidden/>
          </w:rPr>
          <w:instrText xml:space="preserve"> PAGEREF _Toc497123821 \h </w:instrText>
        </w:r>
        <w:r w:rsidR="00B135D7">
          <w:rPr>
            <w:webHidden/>
          </w:rPr>
        </w:r>
        <w:r w:rsidR="00B135D7">
          <w:rPr>
            <w:webHidden/>
          </w:rPr>
          <w:fldChar w:fldCharType="separate"/>
        </w:r>
        <w:r w:rsidR="00D66FE8">
          <w:rPr>
            <w:webHidden/>
          </w:rPr>
          <w:t>49</w:t>
        </w:r>
        <w:r w:rsidR="00B135D7">
          <w:rPr>
            <w:webHidden/>
          </w:rPr>
          <w:fldChar w:fldCharType="end"/>
        </w:r>
      </w:hyperlink>
    </w:p>
    <w:p w14:paraId="1716A026" w14:textId="77777777" w:rsidR="00B135D7" w:rsidRDefault="00BF1EC4">
      <w:pPr>
        <w:pStyle w:val="TOC2"/>
        <w:tabs>
          <w:tab w:val="left" w:pos="1440"/>
        </w:tabs>
        <w:rPr>
          <w:rFonts w:asciiTheme="minorHAnsi" w:eastAsiaTheme="minorEastAsia" w:hAnsiTheme="minorHAnsi"/>
          <w:b w:val="0"/>
          <w:sz w:val="22"/>
          <w:szCs w:val="22"/>
        </w:rPr>
      </w:pPr>
      <w:hyperlink w:anchor="_Toc497123822" w:history="1">
        <w:r w:rsidR="00B135D7" w:rsidRPr="00B76004">
          <w:rPr>
            <w:rStyle w:val="Hyperlink"/>
          </w:rPr>
          <w:t>G.</w:t>
        </w:r>
        <w:r w:rsidR="00B135D7">
          <w:rPr>
            <w:rFonts w:asciiTheme="minorHAnsi" w:eastAsiaTheme="minorEastAsia" w:hAnsiTheme="minorHAnsi"/>
            <w:b w:val="0"/>
            <w:sz w:val="22"/>
            <w:szCs w:val="22"/>
          </w:rPr>
          <w:tab/>
        </w:r>
        <w:r w:rsidR="00B135D7" w:rsidRPr="00B76004">
          <w:rPr>
            <w:rStyle w:val="Hyperlink"/>
          </w:rPr>
          <w:t>Transmission and Distribution Capital Projects</w:t>
        </w:r>
        <w:r w:rsidR="00B135D7">
          <w:rPr>
            <w:webHidden/>
          </w:rPr>
          <w:tab/>
        </w:r>
        <w:r w:rsidR="00B135D7">
          <w:rPr>
            <w:webHidden/>
          </w:rPr>
          <w:fldChar w:fldCharType="begin"/>
        </w:r>
        <w:r w:rsidR="00B135D7">
          <w:rPr>
            <w:webHidden/>
          </w:rPr>
          <w:instrText xml:space="preserve"> PAGEREF _Toc497123822 \h </w:instrText>
        </w:r>
        <w:r w:rsidR="00B135D7">
          <w:rPr>
            <w:webHidden/>
          </w:rPr>
        </w:r>
        <w:r w:rsidR="00B135D7">
          <w:rPr>
            <w:webHidden/>
          </w:rPr>
          <w:fldChar w:fldCharType="separate"/>
        </w:r>
        <w:r w:rsidR="00D66FE8">
          <w:rPr>
            <w:webHidden/>
          </w:rPr>
          <w:t>53</w:t>
        </w:r>
        <w:r w:rsidR="00B135D7">
          <w:rPr>
            <w:webHidden/>
          </w:rPr>
          <w:fldChar w:fldCharType="end"/>
        </w:r>
      </w:hyperlink>
    </w:p>
    <w:p w14:paraId="5A0A8E6C" w14:textId="77777777" w:rsidR="00B135D7" w:rsidRDefault="00BF1EC4">
      <w:pPr>
        <w:pStyle w:val="TOC3"/>
        <w:tabs>
          <w:tab w:val="left" w:pos="2160"/>
        </w:tabs>
        <w:rPr>
          <w:rFonts w:asciiTheme="minorHAnsi" w:eastAsiaTheme="minorEastAsia" w:hAnsiTheme="minorHAnsi"/>
          <w:b w:val="0"/>
          <w:noProof/>
          <w:sz w:val="22"/>
          <w:szCs w:val="22"/>
        </w:rPr>
      </w:pPr>
      <w:hyperlink w:anchor="_Toc497123823"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Capitalized Vegetation Management Costs</w:t>
        </w:r>
        <w:r w:rsidR="00B135D7">
          <w:rPr>
            <w:noProof/>
            <w:webHidden/>
          </w:rPr>
          <w:tab/>
        </w:r>
        <w:r w:rsidR="00B135D7">
          <w:rPr>
            <w:noProof/>
            <w:webHidden/>
          </w:rPr>
          <w:fldChar w:fldCharType="begin"/>
        </w:r>
        <w:r w:rsidR="00B135D7">
          <w:rPr>
            <w:noProof/>
            <w:webHidden/>
          </w:rPr>
          <w:instrText xml:space="preserve"> PAGEREF _Toc497123823 \h </w:instrText>
        </w:r>
        <w:r w:rsidR="00B135D7">
          <w:rPr>
            <w:noProof/>
            <w:webHidden/>
          </w:rPr>
        </w:r>
        <w:r w:rsidR="00B135D7">
          <w:rPr>
            <w:noProof/>
            <w:webHidden/>
          </w:rPr>
          <w:fldChar w:fldCharType="separate"/>
        </w:r>
        <w:r w:rsidR="00D66FE8">
          <w:rPr>
            <w:noProof/>
            <w:webHidden/>
          </w:rPr>
          <w:t>53</w:t>
        </w:r>
        <w:r w:rsidR="00B135D7">
          <w:rPr>
            <w:noProof/>
            <w:webHidden/>
          </w:rPr>
          <w:fldChar w:fldCharType="end"/>
        </w:r>
      </w:hyperlink>
    </w:p>
    <w:p w14:paraId="62069D0C" w14:textId="77777777" w:rsidR="00B135D7" w:rsidRDefault="00BF1EC4">
      <w:pPr>
        <w:pStyle w:val="TOC2"/>
        <w:tabs>
          <w:tab w:val="left" w:pos="1440"/>
        </w:tabs>
        <w:rPr>
          <w:rFonts w:asciiTheme="minorHAnsi" w:eastAsiaTheme="minorEastAsia" w:hAnsiTheme="minorHAnsi"/>
          <w:b w:val="0"/>
          <w:sz w:val="22"/>
          <w:szCs w:val="22"/>
        </w:rPr>
      </w:pPr>
      <w:hyperlink w:anchor="_Toc497123824" w:history="1">
        <w:r w:rsidR="00B135D7" w:rsidRPr="00B76004">
          <w:rPr>
            <w:rStyle w:val="Hyperlink"/>
          </w:rPr>
          <w:t>J.</w:t>
        </w:r>
        <w:r w:rsidR="00B135D7">
          <w:rPr>
            <w:rFonts w:asciiTheme="minorHAnsi" w:eastAsiaTheme="minorEastAsia" w:hAnsiTheme="minorHAnsi"/>
            <w:b w:val="0"/>
            <w:sz w:val="22"/>
            <w:szCs w:val="22"/>
          </w:rPr>
          <w:tab/>
        </w:r>
        <w:r w:rsidR="00B135D7" w:rsidRPr="00B76004">
          <w:rPr>
            <w:rStyle w:val="Hyperlink"/>
          </w:rPr>
          <w:t>Dolet Hills Target Lignite Inventory Level</w:t>
        </w:r>
        <w:r w:rsidR="00B135D7">
          <w:rPr>
            <w:webHidden/>
          </w:rPr>
          <w:tab/>
        </w:r>
        <w:r w:rsidR="00B135D7">
          <w:rPr>
            <w:webHidden/>
          </w:rPr>
          <w:fldChar w:fldCharType="begin"/>
        </w:r>
        <w:r w:rsidR="00B135D7">
          <w:rPr>
            <w:webHidden/>
          </w:rPr>
          <w:instrText xml:space="preserve"> PAGEREF _Toc497123824 \h </w:instrText>
        </w:r>
        <w:r w:rsidR="00B135D7">
          <w:rPr>
            <w:webHidden/>
          </w:rPr>
        </w:r>
        <w:r w:rsidR="00B135D7">
          <w:rPr>
            <w:webHidden/>
          </w:rPr>
          <w:fldChar w:fldCharType="separate"/>
        </w:r>
        <w:r w:rsidR="00D66FE8">
          <w:rPr>
            <w:webHidden/>
          </w:rPr>
          <w:t>55</w:t>
        </w:r>
        <w:r w:rsidR="00B135D7">
          <w:rPr>
            <w:webHidden/>
          </w:rPr>
          <w:fldChar w:fldCharType="end"/>
        </w:r>
      </w:hyperlink>
    </w:p>
    <w:p w14:paraId="32C3D111" w14:textId="77777777" w:rsidR="00B135D7" w:rsidRDefault="00BF1EC4">
      <w:pPr>
        <w:pStyle w:val="TOC1"/>
        <w:rPr>
          <w:rFonts w:asciiTheme="minorHAnsi" w:eastAsiaTheme="minorEastAsia" w:hAnsiTheme="minorHAnsi"/>
          <w:b w:val="0"/>
          <w:sz w:val="22"/>
          <w:szCs w:val="22"/>
        </w:rPr>
      </w:pPr>
      <w:hyperlink w:anchor="_Toc497123825" w:history="1">
        <w:r w:rsidR="00B135D7" w:rsidRPr="00B76004">
          <w:rPr>
            <w:rStyle w:val="Hyperlink"/>
            <w:rFonts w:ascii="Times New Roman Bold" w:hAnsi="Times New Roman Bold"/>
          </w:rPr>
          <w:t>VI.</w:t>
        </w:r>
        <w:r w:rsidR="00B135D7">
          <w:rPr>
            <w:rFonts w:asciiTheme="minorHAnsi" w:eastAsiaTheme="minorEastAsia" w:hAnsiTheme="minorHAnsi"/>
            <w:b w:val="0"/>
            <w:sz w:val="22"/>
            <w:szCs w:val="22"/>
          </w:rPr>
          <w:tab/>
        </w:r>
        <w:r w:rsidR="00B135D7" w:rsidRPr="00B76004">
          <w:rPr>
            <w:rStyle w:val="Hyperlink"/>
          </w:rPr>
          <w:t>RATE OF RETURN</w:t>
        </w:r>
        <w:r w:rsidR="00B135D7">
          <w:rPr>
            <w:webHidden/>
          </w:rPr>
          <w:tab/>
        </w:r>
        <w:r w:rsidR="00B135D7">
          <w:rPr>
            <w:webHidden/>
          </w:rPr>
          <w:fldChar w:fldCharType="begin"/>
        </w:r>
        <w:r w:rsidR="00B135D7">
          <w:rPr>
            <w:webHidden/>
          </w:rPr>
          <w:instrText xml:space="preserve"> PAGEREF _Toc497123825 \h </w:instrText>
        </w:r>
        <w:r w:rsidR="00B135D7">
          <w:rPr>
            <w:webHidden/>
          </w:rPr>
        </w:r>
        <w:r w:rsidR="00B135D7">
          <w:rPr>
            <w:webHidden/>
          </w:rPr>
          <w:fldChar w:fldCharType="separate"/>
        </w:r>
        <w:r w:rsidR="00D66FE8">
          <w:rPr>
            <w:webHidden/>
          </w:rPr>
          <w:t>58</w:t>
        </w:r>
        <w:r w:rsidR="00B135D7">
          <w:rPr>
            <w:webHidden/>
          </w:rPr>
          <w:fldChar w:fldCharType="end"/>
        </w:r>
      </w:hyperlink>
    </w:p>
    <w:p w14:paraId="1D384EBF" w14:textId="77777777" w:rsidR="00B135D7" w:rsidRDefault="00BF1EC4">
      <w:pPr>
        <w:pStyle w:val="TOC2"/>
        <w:tabs>
          <w:tab w:val="left" w:pos="1440"/>
        </w:tabs>
        <w:rPr>
          <w:rFonts w:asciiTheme="minorHAnsi" w:eastAsiaTheme="minorEastAsia" w:hAnsiTheme="minorHAnsi"/>
          <w:b w:val="0"/>
          <w:sz w:val="22"/>
          <w:szCs w:val="22"/>
        </w:rPr>
      </w:pPr>
      <w:hyperlink w:anchor="_Toc497123826" w:history="1">
        <w:r w:rsidR="00B135D7" w:rsidRPr="00B76004">
          <w:rPr>
            <w:rStyle w:val="Hyperlink"/>
          </w:rPr>
          <w:t>A.</w:t>
        </w:r>
        <w:r w:rsidR="00B135D7">
          <w:rPr>
            <w:rFonts w:asciiTheme="minorHAnsi" w:eastAsiaTheme="minorEastAsia" w:hAnsiTheme="minorHAnsi"/>
            <w:b w:val="0"/>
            <w:sz w:val="22"/>
            <w:szCs w:val="22"/>
          </w:rPr>
          <w:tab/>
        </w:r>
        <w:r w:rsidR="00B135D7" w:rsidRPr="00B76004">
          <w:rPr>
            <w:rStyle w:val="Hyperlink"/>
          </w:rPr>
          <w:t>Return on Equity</w:t>
        </w:r>
        <w:r w:rsidR="00B135D7">
          <w:rPr>
            <w:webHidden/>
          </w:rPr>
          <w:tab/>
        </w:r>
        <w:r w:rsidR="00B135D7">
          <w:rPr>
            <w:webHidden/>
          </w:rPr>
          <w:fldChar w:fldCharType="begin"/>
        </w:r>
        <w:r w:rsidR="00B135D7">
          <w:rPr>
            <w:webHidden/>
          </w:rPr>
          <w:instrText xml:space="preserve"> PAGEREF _Toc497123826 \h </w:instrText>
        </w:r>
        <w:r w:rsidR="00B135D7">
          <w:rPr>
            <w:webHidden/>
          </w:rPr>
        </w:r>
        <w:r w:rsidR="00B135D7">
          <w:rPr>
            <w:webHidden/>
          </w:rPr>
          <w:fldChar w:fldCharType="separate"/>
        </w:r>
        <w:r w:rsidR="00D66FE8">
          <w:rPr>
            <w:webHidden/>
          </w:rPr>
          <w:t>58</w:t>
        </w:r>
        <w:r w:rsidR="00B135D7">
          <w:rPr>
            <w:webHidden/>
          </w:rPr>
          <w:fldChar w:fldCharType="end"/>
        </w:r>
      </w:hyperlink>
    </w:p>
    <w:p w14:paraId="1431B980" w14:textId="77777777" w:rsidR="00B135D7" w:rsidRDefault="00BF1EC4">
      <w:pPr>
        <w:pStyle w:val="TOC1"/>
        <w:rPr>
          <w:rFonts w:asciiTheme="minorHAnsi" w:eastAsiaTheme="minorEastAsia" w:hAnsiTheme="minorHAnsi"/>
          <w:b w:val="0"/>
          <w:sz w:val="22"/>
          <w:szCs w:val="22"/>
        </w:rPr>
      </w:pPr>
      <w:hyperlink w:anchor="_Toc497123827" w:history="1">
        <w:r w:rsidR="00B135D7" w:rsidRPr="00B76004">
          <w:rPr>
            <w:rStyle w:val="Hyperlink"/>
            <w:rFonts w:ascii="Times New Roman Bold" w:hAnsi="Times New Roman Bold"/>
          </w:rPr>
          <w:t>VII.</w:t>
        </w:r>
        <w:r w:rsidR="00B135D7">
          <w:rPr>
            <w:rFonts w:asciiTheme="minorHAnsi" w:eastAsiaTheme="minorEastAsia" w:hAnsiTheme="minorHAnsi"/>
            <w:b w:val="0"/>
            <w:sz w:val="22"/>
            <w:szCs w:val="22"/>
          </w:rPr>
          <w:tab/>
        </w:r>
        <w:r w:rsidR="00B135D7" w:rsidRPr="00B76004">
          <w:rPr>
            <w:rStyle w:val="Hyperlink"/>
          </w:rPr>
          <w:t>OPERATING AND MAINTENANCE EXPENSES</w:t>
        </w:r>
        <w:r w:rsidR="00B135D7">
          <w:rPr>
            <w:webHidden/>
          </w:rPr>
          <w:tab/>
        </w:r>
        <w:r w:rsidR="00B135D7">
          <w:rPr>
            <w:webHidden/>
          </w:rPr>
          <w:fldChar w:fldCharType="begin"/>
        </w:r>
        <w:r w:rsidR="00B135D7">
          <w:rPr>
            <w:webHidden/>
          </w:rPr>
          <w:instrText xml:space="preserve"> PAGEREF _Toc497123827 \h </w:instrText>
        </w:r>
        <w:r w:rsidR="00B135D7">
          <w:rPr>
            <w:webHidden/>
          </w:rPr>
        </w:r>
        <w:r w:rsidR="00B135D7">
          <w:rPr>
            <w:webHidden/>
          </w:rPr>
          <w:fldChar w:fldCharType="separate"/>
        </w:r>
        <w:r w:rsidR="00D66FE8">
          <w:rPr>
            <w:webHidden/>
          </w:rPr>
          <w:t>65</w:t>
        </w:r>
        <w:r w:rsidR="00B135D7">
          <w:rPr>
            <w:webHidden/>
          </w:rPr>
          <w:fldChar w:fldCharType="end"/>
        </w:r>
      </w:hyperlink>
    </w:p>
    <w:p w14:paraId="52A61B3F" w14:textId="77777777" w:rsidR="00B135D7" w:rsidRDefault="00BF1EC4">
      <w:pPr>
        <w:pStyle w:val="TOC2"/>
        <w:tabs>
          <w:tab w:val="left" w:pos="1440"/>
        </w:tabs>
        <w:rPr>
          <w:rFonts w:asciiTheme="minorHAnsi" w:eastAsiaTheme="minorEastAsia" w:hAnsiTheme="minorHAnsi"/>
          <w:b w:val="0"/>
          <w:sz w:val="22"/>
          <w:szCs w:val="22"/>
        </w:rPr>
      </w:pPr>
      <w:hyperlink w:anchor="_Toc497123828" w:history="1">
        <w:r w:rsidR="00B135D7" w:rsidRPr="00B76004">
          <w:rPr>
            <w:rStyle w:val="Hyperlink"/>
          </w:rPr>
          <w:t>A.</w:t>
        </w:r>
        <w:r w:rsidR="00B135D7">
          <w:rPr>
            <w:rFonts w:asciiTheme="minorHAnsi" w:eastAsiaTheme="minorEastAsia" w:hAnsiTheme="minorHAnsi"/>
            <w:b w:val="0"/>
            <w:sz w:val="22"/>
            <w:szCs w:val="22"/>
          </w:rPr>
          <w:tab/>
        </w:r>
        <w:r w:rsidR="00B135D7" w:rsidRPr="00B76004">
          <w:rPr>
            <w:rStyle w:val="Hyperlink"/>
          </w:rPr>
          <w:t>Welsh Unit 2 O&amp;M</w:t>
        </w:r>
        <w:r w:rsidR="00B135D7">
          <w:rPr>
            <w:webHidden/>
          </w:rPr>
          <w:tab/>
        </w:r>
        <w:r w:rsidR="00B135D7">
          <w:rPr>
            <w:webHidden/>
          </w:rPr>
          <w:fldChar w:fldCharType="begin"/>
        </w:r>
        <w:r w:rsidR="00B135D7">
          <w:rPr>
            <w:webHidden/>
          </w:rPr>
          <w:instrText xml:space="preserve"> PAGEREF _Toc497123828 \h </w:instrText>
        </w:r>
        <w:r w:rsidR="00B135D7">
          <w:rPr>
            <w:webHidden/>
          </w:rPr>
        </w:r>
        <w:r w:rsidR="00B135D7">
          <w:rPr>
            <w:webHidden/>
          </w:rPr>
          <w:fldChar w:fldCharType="separate"/>
        </w:r>
        <w:r w:rsidR="00D66FE8">
          <w:rPr>
            <w:webHidden/>
          </w:rPr>
          <w:t>65</w:t>
        </w:r>
        <w:r w:rsidR="00B135D7">
          <w:rPr>
            <w:webHidden/>
          </w:rPr>
          <w:fldChar w:fldCharType="end"/>
        </w:r>
      </w:hyperlink>
    </w:p>
    <w:p w14:paraId="49701F1F" w14:textId="77777777" w:rsidR="00B135D7" w:rsidRDefault="00BF1EC4">
      <w:pPr>
        <w:pStyle w:val="TOC2"/>
        <w:tabs>
          <w:tab w:val="left" w:pos="1440"/>
        </w:tabs>
        <w:rPr>
          <w:rFonts w:asciiTheme="minorHAnsi" w:eastAsiaTheme="minorEastAsia" w:hAnsiTheme="minorHAnsi"/>
          <w:b w:val="0"/>
          <w:sz w:val="22"/>
          <w:szCs w:val="22"/>
        </w:rPr>
      </w:pPr>
      <w:hyperlink w:anchor="_Toc497123829"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Production Maintenance Expense</w:t>
        </w:r>
        <w:r w:rsidR="00B135D7">
          <w:rPr>
            <w:webHidden/>
          </w:rPr>
          <w:tab/>
        </w:r>
        <w:r w:rsidR="00B135D7">
          <w:rPr>
            <w:webHidden/>
          </w:rPr>
          <w:fldChar w:fldCharType="begin"/>
        </w:r>
        <w:r w:rsidR="00B135D7">
          <w:rPr>
            <w:webHidden/>
          </w:rPr>
          <w:instrText xml:space="preserve"> PAGEREF _Toc497123829 \h </w:instrText>
        </w:r>
        <w:r w:rsidR="00B135D7">
          <w:rPr>
            <w:webHidden/>
          </w:rPr>
        </w:r>
        <w:r w:rsidR="00B135D7">
          <w:rPr>
            <w:webHidden/>
          </w:rPr>
          <w:fldChar w:fldCharType="separate"/>
        </w:r>
        <w:r w:rsidR="00D66FE8">
          <w:rPr>
            <w:webHidden/>
          </w:rPr>
          <w:t>65</w:t>
        </w:r>
        <w:r w:rsidR="00B135D7">
          <w:rPr>
            <w:webHidden/>
          </w:rPr>
          <w:fldChar w:fldCharType="end"/>
        </w:r>
      </w:hyperlink>
    </w:p>
    <w:p w14:paraId="6D66BCEE" w14:textId="77777777" w:rsidR="00B135D7" w:rsidRDefault="00BF1EC4">
      <w:pPr>
        <w:pStyle w:val="TOC2"/>
        <w:tabs>
          <w:tab w:val="left" w:pos="1440"/>
        </w:tabs>
        <w:rPr>
          <w:rFonts w:asciiTheme="minorHAnsi" w:eastAsiaTheme="minorEastAsia" w:hAnsiTheme="minorHAnsi"/>
          <w:b w:val="0"/>
          <w:sz w:val="22"/>
          <w:szCs w:val="22"/>
        </w:rPr>
      </w:pPr>
      <w:hyperlink w:anchor="_Toc497123830" w:history="1">
        <w:r w:rsidR="00B135D7" w:rsidRPr="00B76004">
          <w:rPr>
            <w:rStyle w:val="Hyperlink"/>
          </w:rPr>
          <w:t>C.</w:t>
        </w:r>
        <w:r w:rsidR="00B135D7">
          <w:rPr>
            <w:rFonts w:asciiTheme="minorHAnsi" w:eastAsiaTheme="minorEastAsia" w:hAnsiTheme="minorHAnsi"/>
            <w:b w:val="0"/>
            <w:sz w:val="22"/>
            <w:szCs w:val="22"/>
          </w:rPr>
          <w:tab/>
        </w:r>
        <w:r w:rsidR="00B135D7" w:rsidRPr="00B76004">
          <w:rPr>
            <w:rStyle w:val="Hyperlink"/>
          </w:rPr>
          <w:t>Depreciation and Amortization Expense</w:t>
        </w:r>
        <w:r w:rsidR="00B135D7">
          <w:rPr>
            <w:webHidden/>
          </w:rPr>
          <w:tab/>
        </w:r>
        <w:r w:rsidR="00B135D7">
          <w:rPr>
            <w:webHidden/>
          </w:rPr>
          <w:fldChar w:fldCharType="begin"/>
        </w:r>
        <w:r w:rsidR="00B135D7">
          <w:rPr>
            <w:webHidden/>
          </w:rPr>
          <w:instrText xml:space="preserve"> PAGEREF _Toc497123830 \h </w:instrText>
        </w:r>
        <w:r w:rsidR="00B135D7">
          <w:rPr>
            <w:webHidden/>
          </w:rPr>
        </w:r>
        <w:r w:rsidR="00B135D7">
          <w:rPr>
            <w:webHidden/>
          </w:rPr>
          <w:fldChar w:fldCharType="separate"/>
        </w:r>
        <w:r w:rsidR="00D66FE8">
          <w:rPr>
            <w:webHidden/>
          </w:rPr>
          <w:t>71</w:t>
        </w:r>
        <w:r w:rsidR="00B135D7">
          <w:rPr>
            <w:webHidden/>
          </w:rPr>
          <w:fldChar w:fldCharType="end"/>
        </w:r>
      </w:hyperlink>
    </w:p>
    <w:p w14:paraId="196ADA0B" w14:textId="77777777" w:rsidR="00B135D7" w:rsidRDefault="00BF1EC4">
      <w:pPr>
        <w:pStyle w:val="TOC3"/>
        <w:tabs>
          <w:tab w:val="left" w:pos="2160"/>
        </w:tabs>
        <w:rPr>
          <w:rFonts w:asciiTheme="minorHAnsi" w:eastAsiaTheme="minorEastAsia" w:hAnsiTheme="minorHAnsi"/>
          <w:b w:val="0"/>
          <w:noProof/>
          <w:sz w:val="22"/>
          <w:szCs w:val="22"/>
        </w:rPr>
      </w:pPr>
      <w:hyperlink w:anchor="_Toc497123831"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Adjustment to Accumulated Depreciation</w:t>
        </w:r>
        <w:r w:rsidR="00B135D7">
          <w:rPr>
            <w:noProof/>
            <w:webHidden/>
          </w:rPr>
          <w:tab/>
        </w:r>
        <w:r w:rsidR="00B135D7">
          <w:rPr>
            <w:noProof/>
            <w:webHidden/>
          </w:rPr>
          <w:fldChar w:fldCharType="begin"/>
        </w:r>
        <w:r w:rsidR="00B135D7">
          <w:rPr>
            <w:noProof/>
            <w:webHidden/>
          </w:rPr>
          <w:instrText xml:space="preserve"> PAGEREF _Toc497123831 \h </w:instrText>
        </w:r>
        <w:r w:rsidR="00B135D7">
          <w:rPr>
            <w:noProof/>
            <w:webHidden/>
          </w:rPr>
        </w:r>
        <w:r w:rsidR="00B135D7">
          <w:rPr>
            <w:noProof/>
            <w:webHidden/>
          </w:rPr>
          <w:fldChar w:fldCharType="separate"/>
        </w:r>
        <w:r w:rsidR="00D66FE8">
          <w:rPr>
            <w:noProof/>
            <w:webHidden/>
          </w:rPr>
          <w:t>71</w:t>
        </w:r>
        <w:r w:rsidR="00B135D7">
          <w:rPr>
            <w:noProof/>
            <w:webHidden/>
          </w:rPr>
          <w:fldChar w:fldCharType="end"/>
        </w:r>
      </w:hyperlink>
    </w:p>
    <w:p w14:paraId="333B9AE8" w14:textId="77777777" w:rsidR="00B135D7" w:rsidRDefault="00BF1EC4">
      <w:pPr>
        <w:pStyle w:val="TOC3"/>
        <w:tabs>
          <w:tab w:val="left" w:pos="2160"/>
        </w:tabs>
        <w:rPr>
          <w:rFonts w:asciiTheme="minorHAnsi" w:eastAsiaTheme="minorEastAsia" w:hAnsiTheme="minorHAnsi"/>
          <w:b w:val="0"/>
          <w:noProof/>
          <w:sz w:val="22"/>
          <w:szCs w:val="22"/>
        </w:rPr>
      </w:pPr>
      <w:hyperlink w:anchor="_Toc497123832" w:history="1">
        <w:r w:rsidR="00B135D7" w:rsidRPr="00B76004">
          <w:rPr>
            <w:rStyle w:val="Hyperlink"/>
            <w:noProof/>
          </w:rPr>
          <w:t>2.</w:t>
        </w:r>
        <w:r w:rsidR="00B135D7">
          <w:rPr>
            <w:rFonts w:asciiTheme="minorHAnsi" w:eastAsiaTheme="minorEastAsia" w:hAnsiTheme="minorHAnsi"/>
            <w:b w:val="0"/>
            <w:noProof/>
            <w:sz w:val="22"/>
            <w:szCs w:val="22"/>
          </w:rPr>
          <w:tab/>
        </w:r>
        <w:r w:rsidR="00B135D7" w:rsidRPr="00B76004">
          <w:rPr>
            <w:rStyle w:val="Hyperlink"/>
            <w:noProof/>
          </w:rPr>
          <w:t>Production Plant</w:t>
        </w:r>
        <w:r w:rsidR="00B135D7">
          <w:rPr>
            <w:noProof/>
            <w:webHidden/>
          </w:rPr>
          <w:tab/>
        </w:r>
        <w:r w:rsidR="00B135D7">
          <w:rPr>
            <w:noProof/>
            <w:webHidden/>
          </w:rPr>
          <w:fldChar w:fldCharType="begin"/>
        </w:r>
        <w:r w:rsidR="00B135D7">
          <w:rPr>
            <w:noProof/>
            <w:webHidden/>
          </w:rPr>
          <w:instrText xml:space="preserve"> PAGEREF _Toc497123832 \h </w:instrText>
        </w:r>
        <w:r w:rsidR="00B135D7">
          <w:rPr>
            <w:noProof/>
            <w:webHidden/>
          </w:rPr>
        </w:r>
        <w:r w:rsidR="00B135D7">
          <w:rPr>
            <w:noProof/>
            <w:webHidden/>
          </w:rPr>
          <w:fldChar w:fldCharType="separate"/>
        </w:r>
        <w:r w:rsidR="00D66FE8">
          <w:rPr>
            <w:noProof/>
            <w:webHidden/>
          </w:rPr>
          <w:t>74</w:t>
        </w:r>
        <w:r w:rsidR="00B135D7">
          <w:rPr>
            <w:noProof/>
            <w:webHidden/>
          </w:rPr>
          <w:fldChar w:fldCharType="end"/>
        </w:r>
      </w:hyperlink>
    </w:p>
    <w:p w14:paraId="10B297FE" w14:textId="77777777" w:rsidR="00B135D7" w:rsidRDefault="00BF1EC4">
      <w:pPr>
        <w:pStyle w:val="TOC4"/>
        <w:tabs>
          <w:tab w:val="left" w:pos="2880"/>
        </w:tabs>
        <w:rPr>
          <w:rFonts w:asciiTheme="minorHAnsi" w:eastAsiaTheme="minorEastAsia" w:hAnsiTheme="minorHAnsi"/>
          <w:b w:val="0"/>
          <w:sz w:val="22"/>
          <w:szCs w:val="22"/>
        </w:rPr>
      </w:pPr>
      <w:hyperlink w:anchor="_Toc497123833"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Net Salvage/Demolition Study</w:t>
        </w:r>
        <w:r w:rsidR="00B135D7">
          <w:rPr>
            <w:webHidden/>
          </w:rPr>
          <w:tab/>
        </w:r>
        <w:r w:rsidR="00B135D7">
          <w:rPr>
            <w:webHidden/>
          </w:rPr>
          <w:fldChar w:fldCharType="begin"/>
        </w:r>
        <w:r w:rsidR="00B135D7">
          <w:rPr>
            <w:webHidden/>
          </w:rPr>
          <w:instrText xml:space="preserve"> PAGEREF _Toc497123833 \h </w:instrText>
        </w:r>
        <w:r w:rsidR="00B135D7">
          <w:rPr>
            <w:webHidden/>
          </w:rPr>
        </w:r>
        <w:r w:rsidR="00B135D7">
          <w:rPr>
            <w:webHidden/>
          </w:rPr>
          <w:fldChar w:fldCharType="separate"/>
        </w:r>
        <w:r w:rsidR="00D66FE8">
          <w:rPr>
            <w:webHidden/>
          </w:rPr>
          <w:t>74</w:t>
        </w:r>
        <w:r w:rsidR="00B135D7">
          <w:rPr>
            <w:webHidden/>
          </w:rPr>
          <w:fldChar w:fldCharType="end"/>
        </w:r>
      </w:hyperlink>
    </w:p>
    <w:p w14:paraId="2E7D995B" w14:textId="77777777" w:rsidR="00B135D7" w:rsidRDefault="00BF1EC4">
      <w:pPr>
        <w:pStyle w:val="TOC5"/>
        <w:tabs>
          <w:tab w:val="left" w:pos="3600"/>
        </w:tabs>
        <w:rPr>
          <w:rFonts w:asciiTheme="minorHAnsi" w:eastAsiaTheme="minorEastAsia" w:hAnsiTheme="minorHAnsi"/>
          <w:b w:val="0"/>
          <w:sz w:val="22"/>
          <w:szCs w:val="22"/>
        </w:rPr>
      </w:pPr>
      <w:hyperlink w:anchor="_Toc497123834" w:history="1">
        <w:r w:rsidR="00B135D7" w:rsidRPr="00B76004">
          <w:rPr>
            <w:rStyle w:val="Hyperlink"/>
          </w:rPr>
          <w:t>i.</w:t>
        </w:r>
        <w:r w:rsidR="00B135D7">
          <w:rPr>
            <w:rFonts w:asciiTheme="minorHAnsi" w:eastAsiaTheme="minorEastAsia" w:hAnsiTheme="minorHAnsi"/>
            <w:b w:val="0"/>
            <w:sz w:val="22"/>
            <w:szCs w:val="22"/>
          </w:rPr>
          <w:tab/>
        </w:r>
        <w:r w:rsidR="00B135D7" w:rsidRPr="00B76004">
          <w:rPr>
            <w:rStyle w:val="Hyperlink"/>
          </w:rPr>
          <w:t>Demolition Cost Estimates</w:t>
        </w:r>
        <w:r w:rsidR="00B135D7">
          <w:rPr>
            <w:webHidden/>
          </w:rPr>
          <w:tab/>
        </w:r>
        <w:r w:rsidR="00B135D7">
          <w:rPr>
            <w:webHidden/>
          </w:rPr>
          <w:fldChar w:fldCharType="begin"/>
        </w:r>
        <w:r w:rsidR="00B135D7">
          <w:rPr>
            <w:webHidden/>
          </w:rPr>
          <w:instrText xml:space="preserve"> PAGEREF _Toc497123834 \h </w:instrText>
        </w:r>
        <w:r w:rsidR="00B135D7">
          <w:rPr>
            <w:webHidden/>
          </w:rPr>
        </w:r>
        <w:r w:rsidR="00B135D7">
          <w:rPr>
            <w:webHidden/>
          </w:rPr>
          <w:fldChar w:fldCharType="separate"/>
        </w:r>
        <w:r w:rsidR="00D66FE8">
          <w:rPr>
            <w:webHidden/>
          </w:rPr>
          <w:t>74</w:t>
        </w:r>
        <w:r w:rsidR="00B135D7">
          <w:rPr>
            <w:webHidden/>
          </w:rPr>
          <w:fldChar w:fldCharType="end"/>
        </w:r>
      </w:hyperlink>
    </w:p>
    <w:p w14:paraId="237106BC" w14:textId="77777777" w:rsidR="00B135D7" w:rsidRDefault="00BF1EC4">
      <w:pPr>
        <w:pStyle w:val="TOC5"/>
        <w:tabs>
          <w:tab w:val="left" w:pos="3600"/>
        </w:tabs>
        <w:rPr>
          <w:rFonts w:asciiTheme="minorHAnsi" w:eastAsiaTheme="minorEastAsia" w:hAnsiTheme="minorHAnsi"/>
          <w:b w:val="0"/>
          <w:sz w:val="22"/>
          <w:szCs w:val="22"/>
        </w:rPr>
      </w:pPr>
      <w:hyperlink w:anchor="_Toc497123835" w:history="1">
        <w:r w:rsidR="00B135D7" w:rsidRPr="00B76004">
          <w:rPr>
            <w:rStyle w:val="Hyperlink"/>
          </w:rPr>
          <w:t>ii.</w:t>
        </w:r>
        <w:r w:rsidR="00B135D7">
          <w:rPr>
            <w:rFonts w:asciiTheme="minorHAnsi" w:eastAsiaTheme="minorEastAsia" w:hAnsiTheme="minorHAnsi"/>
            <w:b w:val="0"/>
            <w:sz w:val="22"/>
            <w:szCs w:val="22"/>
          </w:rPr>
          <w:tab/>
        </w:r>
        <w:r w:rsidR="00B135D7" w:rsidRPr="00B76004">
          <w:rPr>
            <w:rStyle w:val="Hyperlink"/>
          </w:rPr>
          <w:t>Contingency Factor</w:t>
        </w:r>
        <w:r w:rsidR="00B135D7">
          <w:rPr>
            <w:webHidden/>
          </w:rPr>
          <w:tab/>
        </w:r>
        <w:r w:rsidR="00B135D7">
          <w:rPr>
            <w:webHidden/>
          </w:rPr>
          <w:fldChar w:fldCharType="begin"/>
        </w:r>
        <w:r w:rsidR="00B135D7">
          <w:rPr>
            <w:webHidden/>
          </w:rPr>
          <w:instrText xml:space="preserve"> PAGEREF _Toc497123835 \h </w:instrText>
        </w:r>
        <w:r w:rsidR="00B135D7">
          <w:rPr>
            <w:webHidden/>
          </w:rPr>
        </w:r>
        <w:r w:rsidR="00B135D7">
          <w:rPr>
            <w:webHidden/>
          </w:rPr>
          <w:fldChar w:fldCharType="separate"/>
        </w:r>
        <w:r w:rsidR="00D66FE8">
          <w:rPr>
            <w:webHidden/>
          </w:rPr>
          <w:t>77</w:t>
        </w:r>
        <w:r w:rsidR="00B135D7">
          <w:rPr>
            <w:webHidden/>
          </w:rPr>
          <w:fldChar w:fldCharType="end"/>
        </w:r>
      </w:hyperlink>
    </w:p>
    <w:p w14:paraId="421C297F" w14:textId="77777777" w:rsidR="00B135D7" w:rsidRDefault="00BF1EC4">
      <w:pPr>
        <w:pStyle w:val="TOC5"/>
        <w:tabs>
          <w:tab w:val="left" w:pos="3600"/>
        </w:tabs>
        <w:rPr>
          <w:rFonts w:asciiTheme="minorHAnsi" w:eastAsiaTheme="minorEastAsia" w:hAnsiTheme="minorHAnsi"/>
          <w:b w:val="0"/>
          <w:sz w:val="22"/>
          <w:szCs w:val="22"/>
        </w:rPr>
      </w:pPr>
      <w:hyperlink w:anchor="_Toc497123836" w:history="1">
        <w:r w:rsidR="00B135D7" w:rsidRPr="00B76004">
          <w:rPr>
            <w:rStyle w:val="Hyperlink"/>
          </w:rPr>
          <w:t>iii.</w:t>
        </w:r>
        <w:r w:rsidR="00B135D7">
          <w:rPr>
            <w:rFonts w:asciiTheme="minorHAnsi" w:eastAsiaTheme="minorEastAsia" w:hAnsiTheme="minorHAnsi"/>
            <w:b w:val="0"/>
            <w:sz w:val="22"/>
            <w:szCs w:val="22"/>
          </w:rPr>
          <w:tab/>
        </w:r>
        <w:r w:rsidR="00B135D7" w:rsidRPr="00B76004">
          <w:rPr>
            <w:rStyle w:val="Hyperlink"/>
          </w:rPr>
          <w:t>Escalation Factor</w:t>
        </w:r>
        <w:r w:rsidR="00B135D7">
          <w:rPr>
            <w:webHidden/>
          </w:rPr>
          <w:tab/>
        </w:r>
        <w:r w:rsidR="00B135D7">
          <w:rPr>
            <w:webHidden/>
          </w:rPr>
          <w:fldChar w:fldCharType="begin"/>
        </w:r>
        <w:r w:rsidR="00B135D7">
          <w:rPr>
            <w:webHidden/>
          </w:rPr>
          <w:instrText xml:space="preserve"> PAGEREF _Toc497123836 \h </w:instrText>
        </w:r>
        <w:r w:rsidR="00B135D7">
          <w:rPr>
            <w:webHidden/>
          </w:rPr>
        </w:r>
        <w:r w:rsidR="00B135D7">
          <w:rPr>
            <w:webHidden/>
          </w:rPr>
          <w:fldChar w:fldCharType="separate"/>
        </w:r>
        <w:r w:rsidR="00D66FE8">
          <w:rPr>
            <w:webHidden/>
          </w:rPr>
          <w:t>79</w:t>
        </w:r>
        <w:r w:rsidR="00B135D7">
          <w:rPr>
            <w:webHidden/>
          </w:rPr>
          <w:fldChar w:fldCharType="end"/>
        </w:r>
      </w:hyperlink>
    </w:p>
    <w:p w14:paraId="4D70C6C0" w14:textId="77777777" w:rsidR="00B135D7" w:rsidRDefault="00BF1EC4">
      <w:pPr>
        <w:pStyle w:val="TOC3"/>
        <w:tabs>
          <w:tab w:val="left" w:pos="2160"/>
        </w:tabs>
        <w:rPr>
          <w:rFonts w:asciiTheme="minorHAnsi" w:eastAsiaTheme="minorEastAsia" w:hAnsiTheme="minorHAnsi"/>
          <w:b w:val="0"/>
          <w:noProof/>
          <w:sz w:val="22"/>
          <w:szCs w:val="22"/>
        </w:rPr>
      </w:pPr>
      <w:hyperlink w:anchor="_Toc497123837" w:history="1">
        <w:r w:rsidR="00B135D7" w:rsidRPr="00B76004">
          <w:rPr>
            <w:rStyle w:val="Hyperlink"/>
            <w:noProof/>
          </w:rPr>
          <w:t>4.</w:t>
        </w:r>
        <w:r w:rsidR="00B135D7">
          <w:rPr>
            <w:rFonts w:asciiTheme="minorHAnsi" w:eastAsiaTheme="minorEastAsia" w:hAnsiTheme="minorHAnsi"/>
            <w:b w:val="0"/>
            <w:noProof/>
            <w:sz w:val="22"/>
            <w:szCs w:val="22"/>
          </w:rPr>
          <w:tab/>
        </w:r>
        <w:r w:rsidR="00B135D7" w:rsidRPr="00B76004">
          <w:rPr>
            <w:rStyle w:val="Hyperlink"/>
            <w:noProof/>
          </w:rPr>
          <w:t>Distribution Plant</w:t>
        </w:r>
        <w:r w:rsidR="00B135D7">
          <w:rPr>
            <w:noProof/>
            <w:webHidden/>
          </w:rPr>
          <w:tab/>
        </w:r>
        <w:r w:rsidR="00B135D7">
          <w:rPr>
            <w:noProof/>
            <w:webHidden/>
          </w:rPr>
          <w:fldChar w:fldCharType="begin"/>
        </w:r>
        <w:r w:rsidR="00B135D7">
          <w:rPr>
            <w:noProof/>
            <w:webHidden/>
          </w:rPr>
          <w:instrText xml:space="preserve"> PAGEREF _Toc497123837 \h </w:instrText>
        </w:r>
        <w:r w:rsidR="00B135D7">
          <w:rPr>
            <w:noProof/>
            <w:webHidden/>
          </w:rPr>
        </w:r>
        <w:r w:rsidR="00B135D7">
          <w:rPr>
            <w:noProof/>
            <w:webHidden/>
          </w:rPr>
          <w:fldChar w:fldCharType="separate"/>
        </w:r>
        <w:r w:rsidR="00D66FE8">
          <w:rPr>
            <w:noProof/>
            <w:webHidden/>
          </w:rPr>
          <w:t>83</w:t>
        </w:r>
        <w:r w:rsidR="00B135D7">
          <w:rPr>
            <w:noProof/>
            <w:webHidden/>
          </w:rPr>
          <w:fldChar w:fldCharType="end"/>
        </w:r>
      </w:hyperlink>
    </w:p>
    <w:p w14:paraId="7A8596E0" w14:textId="77777777" w:rsidR="00B135D7" w:rsidRDefault="00BF1EC4">
      <w:pPr>
        <w:pStyle w:val="TOC4"/>
        <w:tabs>
          <w:tab w:val="left" w:pos="2880"/>
        </w:tabs>
        <w:rPr>
          <w:rFonts w:asciiTheme="minorHAnsi" w:eastAsiaTheme="minorEastAsia" w:hAnsiTheme="minorHAnsi"/>
          <w:b w:val="0"/>
          <w:sz w:val="22"/>
          <w:szCs w:val="22"/>
        </w:rPr>
      </w:pPr>
      <w:hyperlink w:anchor="_Toc497123838"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Account 362 – Distribution Substation Equipment</w:t>
        </w:r>
        <w:r w:rsidR="00B135D7">
          <w:rPr>
            <w:webHidden/>
          </w:rPr>
          <w:tab/>
        </w:r>
        <w:r w:rsidR="00B135D7">
          <w:rPr>
            <w:webHidden/>
          </w:rPr>
          <w:fldChar w:fldCharType="begin"/>
        </w:r>
        <w:r w:rsidR="00B135D7">
          <w:rPr>
            <w:webHidden/>
          </w:rPr>
          <w:instrText xml:space="preserve"> PAGEREF _Toc497123838 \h </w:instrText>
        </w:r>
        <w:r w:rsidR="00B135D7">
          <w:rPr>
            <w:webHidden/>
          </w:rPr>
        </w:r>
        <w:r w:rsidR="00B135D7">
          <w:rPr>
            <w:webHidden/>
          </w:rPr>
          <w:fldChar w:fldCharType="separate"/>
        </w:r>
        <w:r w:rsidR="00D66FE8">
          <w:rPr>
            <w:webHidden/>
          </w:rPr>
          <w:t>83</w:t>
        </w:r>
        <w:r w:rsidR="00B135D7">
          <w:rPr>
            <w:webHidden/>
          </w:rPr>
          <w:fldChar w:fldCharType="end"/>
        </w:r>
      </w:hyperlink>
    </w:p>
    <w:p w14:paraId="71FA1B7D" w14:textId="77777777" w:rsidR="00B135D7" w:rsidRDefault="00BF1EC4">
      <w:pPr>
        <w:pStyle w:val="TOC4"/>
        <w:tabs>
          <w:tab w:val="left" w:pos="2880"/>
        </w:tabs>
        <w:rPr>
          <w:rFonts w:asciiTheme="minorHAnsi" w:eastAsiaTheme="minorEastAsia" w:hAnsiTheme="minorHAnsi"/>
          <w:b w:val="0"/>
          <w:sz w:val="22"/>
          <w:szCs w:val="22"/>
        </w:rPr>
      </w:pPr>
      <w:hyperlink w:anchor="_Toc497123839" w:history="1">
        <w:r w:rsidR="00B135D7" w:rsidRPr="00B76004">
          <w:rPr>
            <w:rStyle w:val="Hyperlink"/>
          </w:rPr>
          <w:t>c.</w:t>
        </w:r>
        <w:r w:rsidR="00B135D7">
          <w:rPr>
            <w:rFonts w:asciiTheme="minorHAnsi" w:eastAsiaTheme="minorEastAsia" w:hAnsiTheme="minorHAnsi"/>
            <w:b w:val="0"/>
            <w:sz w:val="22"/>
            <w:szCs w:val="22"/>
          </w:rPr>
          <w:tab/>
        </w:r>
        <w:r w:rsidR="00B135D7" w:rsidRPr="00B76004">
          <w:rPr>
            <w:rStyle w:val="Hyperlink"/>
          </w:rPr>
          <w:t>Account 364-Distribution Poles</w:t>
        </w:r>
        <w:r w:rsidR="00B135D7">
          <w:rPr>
            <w:webHidden/>
          </w:rPr>
          <w:tab/>
        </w:r>
        <w:r w:rsidR="00B135D7">
          <w:rPr>
            <w:webHidden/>
          </w:rPr>
          <w:fldChar w:fldCharType="begin"/>
        </w:r>
        <w:r w:rsidR="00B135D7">
          <w:rPr>
            <w:webHidden/>
          </w:rPr>
          <w:instrText xml:space="preserve"> PAGEREF _Toc497123839 \h </w:instrText>
        </w:r>
        <w:r w:rsidR="00B135D7">
          <w:rPr>
            <w:webHidden/>
          </w:rPr>
        </w:r>
        <w:r w:rsidR="00B135D7">
          <w:rPr>
            <w:webHidden/>
          </w:rPr>
          <w:fldChar w:fldCharType="separate"/>
        </w:r>
        <w:r w:rsidR="00D66FE8">
          <w:rPr>
            <w:webHidden/>
          </w:rPr>
          <w:t>84</w:t>
        </w:r>
        <w:r w:rsidR="00B135D7">
          <w:rPr>
            <w:webHidden/>
          </w:rPr>
          <w:fldChar w:fldCharType="end"/>
        </w:r>
      </w:hyperlink>
    </w:p>
    <w:p w14:paraId="22FD7DE0" w14:textId="77777777" w:rsidR="00B135D7" w:rsidRDefault="00BF1EC4">
      <w:pPr>
        <w:pStyle w:val="TOC4"/>
        <w:tabs>
          <w:tab w:val="left" w:pos="2880"/>
        </w:tabs>
        <w:rPr>
          <w:rFonts w:asciiTheme="minorHAnsi" w:eastAsiaTheme="minorEastAsia" w:hAnsiTheme="minorHAnsi"/>
          <w:b w:val="0"/>
          <w:sz w:val="22"/>
          <w:szCs w:val="22"/>
        </w:rPr>
      </w:pPr>
      <w:hyperlink w:anchor="_Toc497123840" w:history="1">
        <w:r w:rsidR="00B135D7" w:rsidRPr="00B76004">
          <w:rPr>
            <w:rStyle w:val="Hyperlink"/>
          </w:rPr>
          <w:t>e.</w:t>
        </w:r>
        <w:r w:rsidR="00B135D7">
          <w:rPr>
            <w:rFonts w:asciiTheme="minorHAnsi" w:eastAsiaTheme="minorEastAsia" w:hAnsiTheme="minorHAnsi"/>
            <w:b w:val="0"/>
            <w:sz w:val="22"/>
            <w:szCs w:val="22"/>
          </w:rPr>
          <w:tab/>
        </w:r>
        <w:r w:rsidR="00B135D7" w:rsidRPr="00B76004">
          <w:rPr>
            <w:rStyle w:val="Hyperlink"/>
          </w:rPr>
          <w:t>Account 368 – Distribution Line Transformers</w:t>
        </w:r>
        <w:r w:rsidR="00B135D7">
          <w:rPr>
            <w:webHidden/>
          </w:rPr>
          <w:tab/>
        </w:r>
        <w:r w:rsidR="00B135D7">
          <w:rPr>
            <w:webHidden/>
          </w:rPr>
          <w:fldChar w:fldCharType="begin"/>
        </w:r>
        <w:r w:rsidR="00B135D7">
          <w:rPr>
            <w:webHidden/>
          </w:rPr>
          <w:instrText xml:space="preserve"> PAGEREF _Toc497123840 \h </w:instrText>
        </w:r>
        <w:r w:rsidR="00B135D7">
          <w:rPr>
            <w:webHidden/>
          </w:rPr>
        </w:r>
        <w:r w:rsidR="00B135D7">
          <w:rPr>
            <w:webHidden/>
          </w:rPr>
          <w:fldChar w:fldCharType="separate"/>
        </w:r>
        <w:r w:rsidR="00D66FE8">
          <w:rPr>
            <w:webHidden/>
          </w:rPr>
          <w:t>85</w:t>
        </w:r>
        <w:r w:rsidR="00B135D7">
          <w:rPr>
            <w:webHidden/>
          </w:rPr>
          <w:fldChar w:fldCharType="end"/>
        </w:r>
      </w:hyperlink>
    </w:p>
    <w:p w14:paraId="71D2D0C4" w14:textId="77777777" w:rsidR="00B135D7" w:rsidRDefault="00BF1EC4">
      <w:pPr>
        <w:pStyle w:val="TOC3"/>
        <w:tabs>
          <w:tab w:val="left" w:pos="2160"/>
        </w:tabs>
        <w:rPr>
          <w:rFonts w:asciiTheme="minorHAnsi" w:eastAsiaTheme="minorEastAsia" w:hAnsiTheme="minorHAnsi"/>
          <w:b w:val="0"/>
          <w:noProof/>
          <w:sz w:val="22"/>
          <w:szCs w:val="22"/>
        </w:rPr>
      </w:pPr>
      <w:hyperlink w:anchor="_Toc497123841" w:history="1">
        <w:r w:rsidR="00B135D7" w:rsidRPr="00B76004">
          <w:rPr>
            <w:rStyle w:val="Hyperlink"/>
            <w:noProof/>
          </w:rPr>
          <w:t>5.</w:t>
        </w:r>
        <w:r w:rsidR="00B135D7">
          <w:rPr>
            <w:rFonts w:asciiTheme="minorHAnsi" w:eastAsiaTheme="minorEastAsia" w:hAnsiTheme="minorHAnsi"/>
            <w:b w:val="0"/>
            <w:noProof/>
            <w:sz w:val="22"/>
            <w:szCs w:val="22"/>
          </w:rPr>
          <w:tab/>
        </w:r>
        <w:r w:rsidR="00B135D7" w:rsidRPr="00B76004">
          <w:rPr>
            <w:rStyle w:val="Hyperlink"/>
            <w:noProof/>
          </w:rPr>
          <w:t>General Plant</w:t>
        </w:r>
        <w:r w:rsidR="00B135D7">
          <w:rPr>
            <w:noProof/>
            <w:webHidden/>
          </w:rPr>
          <w:tab/>
        </w:r>
        <w:r w:rsidR="00B135D7">
          <w:rPr>
            <w:noProof/>
            <w:webHidden/>
          </w:rPr>
          <w:fldChar w:fldCharType="begin"/>
        </w:r>
        <w:r w:rsidR="00B135D7">
          <w:rPr>
            <w:noProof/>
            <w:webHidden/>
          </w:rPr>
          <w:instrText xml:space="preserve"> PAGEREF _Toc497123841 \h </w:instrText>
        </w:r>
        <w:r w:rsidR="00B135D7">
          <w:rPr>
            <w:noProof/>
            <w:webHidden/>
          </w:rPr>
        </w:r>
        <w:r w:rsidR="00B135D7">
          <w:rPr>
            <w:noProof/>
            <w:webHidden/>
          </w:rPr>
          <w:fldChar w:fldCharType="separate"/>
        </w:r>
        <w:r w:rsidR="00D66FE8">
          <w:rPr>
            <w:noProof/>
            <w:webHidden/>
          </w:rPr>
          <w:t>86</w:t>
        </w:r>
        <w:r w:rsidR="00B135D7">
          <w:rPr>
            <w:noProof/>
            <w:webHidden/>
          </w:rPr>
          <w:fldChar w:fldCharType="end"/>
        </w:r>
      </w:hyperlink>
    </w:p>
    <w:p w14:paraId="3F9FD99A" w14:textId="77777777" w:rsidR="00B135D7" w:rsidRDefault="00BF1EC4">
      <w:pPr>
        <w:pStyle w:val="TOC2"/>
        <w:tabs>
          <w:tab w:val="left" w:pos="1440"/>
        </w:tabs>
        <w:rPr>
          <w:rFonts w:asciiTheme="minorHAnsi" w:eastAsiaTheme="minorEastAsia" w:hAnsiTheme="minorHAnsi"/>
          <w:b w:val="0"/>
          <w:sz w:val="22"/>
          <w:szCs w:val="22"/>
        </w:rPr>
      </w:pPr>
      <w:hyperlink w:anchor="_Toc497123842" w:history="1">
        <w:r w:rsidR="00B135D7" w:rsidRPr="00B76004">
          <w:rPr>
            <w:rStyle w:val="Hyperlink"/>
          </w:rPr>
          <w:t>D.</w:t>
        </w:r>
        <w:r w:rsidR="00B135D7">
          <w:rPr>
            <w:rFonts w:asciiTheme="minorHAnsi" w:eastAsiaTheme="minorEastAsia" w:hAnsiTheme="minorHAnsi"/>
            <w:b w:val="0"/>
            <w:sz w:val="22"/>
            <w:szCs w:val="22"/>
          </w:rPr>
          <w:tab/>
        </w:r>
        <w:r w:rsidR="00B135D7" w:rsidRPr="00B76004">
          <w:rPr>
            <w:rStyle w:val="Hyperlink"/>
          </w:rPr>
          <w:t>Payroll Adjustment</w:t>
        </w:r>
        <w:r w:rsidR="00B135D7">
          <w:rPr>
            <w:webHidden/>
          </w:rPr>
          <w:tab/>
        </w:r>
        <w:r w:rsidR="00B135D7">
          <w:rPr>
            <w:webHidden/>
          </w:rPr>
          <w:fldChar w:fldCharType="begin"/>
        </w:r>
        <w:r w:rsidR="00B135D7">
          <w:rPr>
            <w:webHidden/>
          </w:rPr>
          <w:instrText xml:space="preserve"> PAGEREF _Toc497123842 \h </w:instrText>
        </w:r>
        <w:r w:rsidR="00B135D7">
          <w:rPr>
            <w:webHidden/>
          </w:rPr>
        </w:r>
        <w:r w:rsidR="00B135D7">
          <w:rPr>
            <w:webHidden/>
          </w:rPr>
          <w:fldChar w:fldCharType="separate"/>
        </w:r>
        <w:r w:rsidR="00D66FE8">
          <w:rPr>
            <w:webHidden/>
          </w:rPr>
          <w:t>87</w:t>
        </w:r>
        <w:r w:rsidR="00B135D7">
          <w:rPr>
            <w:webHidden/>
          </w:rPr>
          <w:fldChar w:fldCharType="end"/>
        </w:r>
      </w:hyperlink>
    </w:p>
    <w:p w14:paraId="726BC016" w14:textId="77777777" w:rsidR="00B135D7" w:rsidRDefault="00BF1EC4">
      <w:pPr>
        <w:pStyle w:val="TOC2"/>
        <w:tabs>
          <w:tab w:val="left" w:pos="1440"/>
        </w:tabs>
        <w:rPr>
          <w:rFonts w:asciiTheme="minorHAnsi" w:eastAsiaTheme="minorEastAsia" w:hAnsiTheme="minorHAnsi"/>
          <w:b w:val="0"/>
          <w:sz w:val="22"/>
          <w:szCs w:val="22"/>
        </w:rPr>
      </w:pPr>
      <w:hyperlink w:anchor="_Toc497123843" w:history="1">
        <w:r w:rsidR="00B135D7" w:rsidRPr="00B76004">
          <w:rPr>
            <w:rStyle w:val="Hyperlink"/>
          </w:rPr>
          <w:t>E.</w:t>
        </w:r>
        <w:r w:rsidR="00B135D7">
          <w:rPr>
            <w:rFonts w:asciiTheme="minorHAnsi" w:eastAsiaTheme="minorEastAsia" w:hAnsiTheme="minorHAnsi"/>
            <w:b w:val="0"/>
            <w:sz w:val="22"/>
            <w:szCs w:val="22"/>
          </w:rPr>
          <w:tab/>
        </w:r>
        <w:r w:rsidR="00B135D7" w:rsidRPr="00B76004">
          <w:rPr>
            <w:rStyle w:val="Hyperlink"/>
          </w:rPr>
          <w:t>Incentive Compensation</w:t>
        </w:r>
        <w:r w:rsidR="00B135D7">
          <w:rPr>
            <w:webHidden/>
          </w:rPr>
          <w:tab/>
        </w:r>
        <w:r w:rsidR="00B135D7">
          <w:rPr>
            <w:webHidden/>
          </w:rPr>
          <w:fldChar w:fldCharType="begin"/>
        </w:r>
        <w:r w:rsidR="00B135D7">
          <w:rPr>
            <w:webHidden/>
          </w:rPr>
          <w:instrText xml:space="preserve"> PAGEREF _Toc497123843 \h </w:instrText>
        </w:r>
        <w:r w:rsidR="00B135D7">
          <w:rPr>
            <w:webHidden/>
          </w:rPr>
        </w:r>
        <w:r w:rsidR="00B135D7">
          <w:rPr>
            <w:webHidden/>
          </w:rPr>
          <w:fldChar w:fldCharType="separate"/>
        </w:r>
        <w:r w:rsidR="00D66FE8">
          <w:rPr>
            <w:webHidden/>
          </w:rPr>
          <w:t>89</w:t>
        </w:r>
        <w:r w:rsidR="00B135D7">
          <w:rPr>
            <w:webHidden/>
          </w:rPr>
          <w:fldChar w:fldCharType="end"/>
        </w:r>
      </w:hyperlink>
    </w:p>
    <w:p w14:paraId="2AB4EF59" w14:textId="77777777" w:rsidR="00B135D7" w:rsidRDefault="00BF1EC4">
      <w:pPr>
        <w:pStyle w:val="TOC3"/>
        <w:tabs>
          <w:tab w:val="left" w:pos="2160"/>
        </w:tabs>
        <w:rPr>
          <w:rFonts w:asciiTheme="minorHAnsi" w:eastAsiaTheme="minorEastAsia" w:hAnsiTheme="minorHAnsi"/>
          <w:b w:val="0"/>
          <w:noProof/>
          <w:sz w:val="22"/>
          <w:szCs w:val="22"/>
        </w:rPr>
      </w:pPr>
      <w:hyperlink w:anchor="_Toc497123844"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Annual Incentive Compensation</w:t>
        </w:r>
        <w:r w:rsidR="00B135D7">
          <w:rPr>
            <w:noProof/>
            <w:webHidden/>
          </w:rPr>
          <w:tab/>
        </w:r>
        <w:r w:rsidR="00B135D7">
          <w:rPr>
            <w:noProof/>
            <w:webHidden/>
          </w:rPr>
          <w:fldChar w:fldCharType="begin"/>
        </w:r>
        <w:r w:rsidR="00B135D7">
          <w:rPr>
            <w:noProof/>
            <w:webHidden/>
          </w:rPr>
          <w:instrText xml:space="preserve"> PAGEREF _Toc497123844 \h </w:instrText>
        </w:r>
        <w:r w:rsidR="00B135D7">
          <w:rPr>
            <w:noProof/>
            <w:webHidden/>
          </w:rPr>
        </w:r>
        <w:r w:rsidR="00B135D7">
          <w:rPr>
            <w:noProof/>
            <w:webHidden/>
          </w:rPr>
          <w:fldChar w:fldCharType="separate"/>
        </w:r>
        <w:r w:rsidR="00D66FE8">
          <w:rPr>
            <w:noProof/>
            <w:webHidden/>
          </w:rPr>
          <w:t>89</w:t>
        </w:r>
        <w:r w:rsidR="00B135D7">
          <w:rPr>
            <w:noProof/>
            <w:webHidden/>
          </w:rPr>
          <w:fldChar w:fldCharType="end"/>
        </w:r>
      </w:hyperlink>
    </w:p>
    <w:p w14:paraId="7A4EFDA0" w14:textId="77777777" w:rsidR="00B135D7" w:rsidRDefault="00BF1EC4">
      <w:pPr>
        <w:pStyle w:val="TOC3"/>
        <w:tabs>
          <w:tab w:val="left" w:pos="2160"/>
        </w:tabs>
        <w:rPr>
          <w:rFonts w:asciiTheme="minorHAnsi" w:eastAsiaTheme="minorEastAsia" w:hAnsiTheme="minorHAnsi"/>
          <w:b w:val="0"/>
          <w:noProof/>
          <w:sz w:val="22"/>
          <w:szCs w:val="22"/>
        </w:rPr>
      </w:pPr>
      <w:hyperlink w:anchor="_Toc497123845" w:history="1">
        <w:r w:rsidR="00B135D7" w:rsidRPr="00B76004">
          <w:rPr>
            <w:rStyle w:val="Hyperlink"/>
            <w:noProof/>
          </w:rPr>
          <w:t>2.</w:t>
        </w:r>
        <w:r w:rsidR="00B135D7">
          <w:rPr>
            <w:rFonts w:asciiTheme="minorHAnsi" w:eastAsiaTheme="minorEastAsia" w:hAnsiTheme="minorHAnsi"/>
            <w:b w:val="0"/>
            <w:noProof/>
            <w:sz w:val="22"/>
            <w:szCs w:val="22"/>
          </w:rPr>
          <w:tab/>
        </w:r>
        <w:r w:rsidR="00B135D7" w:rsidRPr="00B76004">
          <w:rPr>
            <w:rStyle w:val="Hyperlink"/>
            <w:noProof/>
          </w:rPr>
          <w:t>Long</w:t>
        </w:r>
        <w:r w:rsidR="00B135D7" w:rsidRPr="00B76004">
          <w:rPr>
            <w:rStyle w:val="Hyperlink"/>
            <w:noProof/>
          </w:rPr>
          <w:noBreakHyphen/>
          <w:t>Term Incentive Compensation</w:t>
        </w:r>
        <w:r w:rsidR="00B135D7">
          <w:rPr>
            <w:noProof/>
            <w:webHidden/>
          </w:rPr>
          <w:tab/>
        </w:r>
        <w:r w:rsidR="00B135D7">
          <w:rPr>
            <w:noProof/>
            <w:webHidden/>
          </w:rPr>
          <w:fldChar w:fldCharType="begin"/>
        </w:r>
        <w:r w:rsidR="00B135D7">
          <w:rPr>
            <w:noProof/>
            <w:webHidden/>
          </w:rPr>
          <w:instrText xml:space="preserve"> PAGEREF _Toc497123845 \h </w:instrText>
        </w:r>
        <w:r w:rsidR="00B135D7">
          <w:rPr>
            <w:noProof/>
            <w:webHidden/>
          </w:rPr>
        </w:r>
        <w:r w:rsidR="00B135D7">
          <w:rPr>
            <w:noProof/>
            <w:webHidden/>
          </w:rPr>
          <w:fldChar w:fldCharType="separate"/>
        </w:r>
        <w:r w:rsidR="00D66FE8">
          <w:rPr>
            <w:noProof/>
            <w:webHidden/>
          </w:rPr>
          <w:t>91</w:t>
        </w:r>
        <w:r w:rsidR="00B135D7">
          <w:rPr>
            <w:noProof/>
            <w:webHidden/>
          </w:rPr>
          <w:fldChar w:fldCharType="end"/>
        </w:r>
      </w:hyperlink>
    </w:p>
    <w:p w14:paraId="4364CA3A" w14:textId="77777777" w:rsidR="00B135D7" w:rsidRDefault="00BF1EC4">
      <w:pPr>
        <w:pStyle w:val="TOC2"/>
        <w:tabs>
          <w:tab w:val="left" w:pos="1440"/>
        </w:tabs>
        <w:rPr>
          <w:rFonts w:asciiTheme="minorHAnsi" w:eastAsiaTheme="minorEastAsia" w:hAnsiTheme="minorHAnsi"/>
          <w:b w:val="0"/>
          <w:sz w:val="22"/>
          <w:szCs w:val="22"/>
        </w:rPr>
      </w:pPr>
      <w:hyperlink w:anchor="_Toc497123846" w:history="1">
        <w:r w:rsidR="00B135D7" w:rsidRPr="00B76004">
          <w:rPr>
            <w:rStyle w:val="Hyperlink"/>
          </w:rPr>
          <w:t>I.</w:t>
        </w:r>
        <w:r w:rsidR="00B135D7">
          <w:rPr>
            <w:rFonts w:asciiTheme="minorHAnsi" w:eastAsiaTheme="minorEastAsia" w:hAnsiTheme="minorHAnsi"/>
            <w:b w:val="0"/>
            <w:sz w:val="22"/>
            <w:szCs w:val="22"/>
          </w:rPr>
          <w:tab/>
        </w:r>
        <w:r w:rsidR="00B135D7" w:rsidRPr="00B76004">
          <w:rPr>
            <w:rStyle w:val="Hyperlink"/>
          </w:rPr>
          <w:t>Distribution Vegetation Management Expense</w:t>
        </w:r>
        <w:r w:rsidR="00B135D7">
          <w:rPr>
            <w:webHidden/>
          </w:rPr>
          <w:tab/>
        </w:r>
        <w:r w:rsidR="00B135D7">
          <w:rPr>
            <w:webHidden/>
          </w:rPr>
          <w:fldChar w:fldCharType="begin"/>
        </w:r>
        <w:r w:rsidR="00B135D7">
          <w:rPr>
            <w:webHidden/>
          </w:rPr>
          <w:instrText xml:space="preserve"> PAGEREF _Toc497123846 \h </w:instrText>
        </w:r>
        <w:r w:rsidR="00B135D7">
          <w:rPr>
            <w:webHidden/>
          </w:rPr>
        </w:r>
        <w:r w:rsidR="00B135D7">
          <w:rPr>
            <w:webHidden/>
          </w:rPr>
          <w:fldChar w:fldCharType="separate"/>
        </w:r>
        <w:r w:rsidR="00D66FE8">
          <w:rPr>
            <w:webHidden/>
          </w:rPr>
          <w:t>93</w:t>
        </w:r>
        <w:r w:rsidR="00B135D7">
          <w:rPr>
            <w:webHidden/>
          </w:rPr>
          <w:fldChar w:fldCharType="end"/>
        </w:r>
      </w:hyperlink>
    </w:p>
    <w:p w14:paraId="0CAEEA84" w14:textId="77777777" w:rsidR="00B135D7" w:rsidRDefault="00BF1EC4">
      <w:pPr>
        <w:pStyle w:val="TOC2"/>
        <w:tabs>
          <w:tab w:val="left" w:pos="1440"/>
        </w:tabs>
        <w:rPr>
          <w:rFonts w:asciiTheme="minorHAnsi" w:eastAsiaTheme="minorEastAsia" w:hAnsiTheme="minorHAnsi"/>
          <w:b w:val="0"/>
          <w:sz w:val="22"/>
          <w:szCs w:val="22"/>
        </w:rPr>
      </w:pPr>
      <w:hyperlink w:anchor="_Toc497123847" w:history="1">
        <w:r w:rsidR="00B135D7" w:rsidRPr="00B76004">
          <w:rPr>
            <w:rStyle w:val="Hyperlink"/>
          </w:rPr>
          <w:t>K.</w:t>
        </w:r>
        <w:r w:rsidR="00B135D7">
          <w:rPr>
            <w:rFonts w:asciiTheme="minorHAnsi" w:eastAsiaTheme="minorEastAsia" w:hAnsiTheme="minorHAnsi"/>
            <w:b w:val="0"/>
            <w:sz w:val="22"/>
            <w:szCs w:val="22"/>
          </w:rPr>
          <w:tab/>
        </w:r>
        <w:r w:rsidR="00B135D7" w:rsidRPr="00B76004">
          <w:rPr>
            <w:rStyle w:val="Hyperlink"/>
          </w:rPr>
          <w:t>Injuries and Damages</w:t>
        </w:r>
        <w:r w:rsidR="00B135D7">
          <w:rPr>
            <w:webHidden/>
          </w:rPr>
          <w:tab/>
        </w:r>
        <w:r w:rsidR="00B135D7">
          <w:rPr>
            <w:webHidden/>
          </w:rPr>
          <w:fldChar w:fldCharType="begin"/>
        </w:r>
        <w:r w:rsidR="00B135D7">
          <w:rPr>
            <w:webHidden/>
          </w:rPr>
          <w:instrText xml:space="preserve"> PAGEREF _Toc497123847 \h </w:instrText>
        </w:r>
        <w:r w:rsidR="00B135D7">
          <w:rPr>
            <w:webHidden/>
          </w:rPr>
        </w:r>
        <w:r w:rsidR="00B135D7">
          <w:rPr>
            <w:webHidden/>
          </w:rPr>
          <w:fldChar w:fldCharType="separate"/>
        </w:r>
        <w:r w:rsidR="00D66FE8">
          <w:rPr>
            <w:webHidden/>
          </w:rPr>
          <w:t>95</w:t>
        </w:r>
        <w:r w:rsidR="00B135D7">
          <w:rPr>
            <w:webHidden/>
          </w:rPr>
          <w:fldChar w:fldCharType="end"/>
        </w:r>
      </w:hyperlink>
    </w:p>
    <w:p w14:paraId="2D677C75" w14:textId="77777777" w:rsidR="00B135D7" w:rsidRDefault="00BF1EC4">
      <w:pPr>
        <w:pStyle w:val="TOC2"/>
        <w:tabs>
          <w:tab w:val="left" w:pos="1440"/>
        </w:tabs>
        <w:rPr>
          <w:rFonts w:asciiTheme="minorHAnsi" w:eastAsiaTheme="minorEastAsia" w:hAnsiTheme="minorHAnsi"/>
          <w:b w:val="0"/>
          <w:sz w:val="22"/>
          <w:szCs w:val="22"/>
        </w:rPr>
      </w:pPr>
      <w:hyperlink w:anchor="_Toc497123848" w:history="1">
        <w:r w:rsidR="00B135D7" w:rsidRPr="00B76004">
          <w:rPr>
            <w:rStyle w:val="Hyperlink"/>
          </w:rPr>
          <w:t>L.</w:t>
        </w:r>
        <w:r w:rsidR="00B135D7">
          <w:rPr>
            <w:rFonts w:asciiTheme="minorHAnsi" w:eastAsiaTheme="minorEastAsia" w:hAnsiTheme="minorHAnsi"/>
            <w:b w:val="0"/>
            <w:sz w:val="22"/>
            <w:szCs w:val="22"/>
          </w:rPr>
          <w:tab/>
        </w:r>
        <w:r w:rsidR="00B135D7" w:rsidRPr="00B76004">
          <w:rPr>
            <w:rStyle w:val="Hyperlink"/>
          </w:rPr>
          <w:t>Directors’/Officers’ Liability Insurance</w:t>
        </w:r>
        <w:r w:rsidR="00B135D7">
          <w:rPr>
            <w:webHidden/>
          </w:rPr>
          <w:tab/>
        </w:r>
        <w:r w:rsidR="00B135D7">
          <w:rPr>
            <w:webHidden/>
          </w:rPr>
          <w:fldChar w:fldCharType="begin"/>
        </w:r>
        <w:r w:rsidR="00B135D7">
          <w:rPr>
            <w:webHidden/>
          </w:rPr>
          <w:instrText xml:space="preserve"> PAGEREF _Toc497123848 \h </w:instrText>
        </w:r>
        <w:r w:rsidR="00B135D7">
          <w:rPr>
            <w:webHidden/>
          </w:rPr>
        </w:r>
        <w:r w:rsidR="00B135D7">
          <w:rPr>
            <w:webHidden/>
          </w:rPr>
          <w:fldChar w:fldCharType="separate"/>
        </w:r>
        <w:r w:rsidR="00D66FE8">
          <w:rPr>
            <w:webHidden/>
          </w:rPr>
          <w:t>97</w:t>
        </w:r>
        <w:r w:rsidR="00B135D7">
          <w:rPr>
            <w:webHidden/>
          </w:rPr>
          <w:fldChar w:fldCharType="end"/>
        </w:r>
      </w:hyperlink>
    </w:p>
    <w:p w14:paraId="761E5850" w14:textId="77777777" w:rsidR="00B135D7" w:rsidRDefault="00BF1EC4">
      <w:pPr>
        <w:pStyle w:val="TOC2"/>
        <w:tabs>
          <w:tab w:val="left" w:pos="1440"/>
        </w:tabs>
        <w:rPr>
          <w:rFonts w:asciiTheme="minorHAnsi" w:eastAsiaTheme="minorEastAsia" w:hAnsiTheme="minorHAnsi"/>
          <w:b w:val="0"/>
          <w:sz w:val="22"/>
          <w:szCs w:val="22"/>
        </w:rPr>
      </w:pPr>
      <w:hyperlink w:anchor="_Toc497123849" w:history="1">
        <w:r w:rsidR="00B135D7" w:rsidRPr="00B76004">
          <w:rPr>
            <w:rStyle w:val="Hyperlink"/>
          </w:rPr>
          <w:t>M.</w:t>
        </w:r>
        <w:r w:rsidR="00B135D7">
          <w:rPr>
            <w:rFonts w:asciiTheme="minorHAnsi" w:eastAsiaTheme="minorEastAsia" w:hAnsiTheme="minorHAnsi"/>
            <w:b w:val="0"/>
            <w:sz w:val="22"/>
            <w:szCs w:val="22"/>
          </w:rPr>
          <w:tab/>
        </w:r>
        <w:r w:rsidR="00B135D7" w:rsidRPr="00B76004">
          <w:rPr>
            <w:rStyle w:val="Hyperlink"/>
          </w:rPr>
          <w:t>Storm Damage/Storm Recovery Costs</w:t>
        </w:r>
        <w:r w:rsidR="00B135D7">
          <w:rPr>
            <w:webHidden/>
          </w:rPr>
          <w:tab/>
        </w:r>
        <w:r w:rsidR="00B135D7">
          <w:rPr>
            <w:webHidden/>
          </w:rPr>
          <w:fldChar w:fldCharType="begin"/>
        </w:r>
        <w:r w:rsidR="00B135D7">
          <w:rPr>
            <w:webHidden/>
          </w:rPr>
          <w:instrText xml:space="preserve"> PAGEREF _Toc497123849 \h </w:instrText>
        </w:r>
        <w:r w:rsidR="00B135D7">
          <w:rPr>
            <w:webHidden/>
          </w:rPr>
        </w:r>
        <w:r w:rsidR="00B135D7">
          <w:rPr>
            <w:webHidden/>
          </w:rPr>
          <w:fldChar w:fldCharType="separate"/>
        </w:r>
        <w:r w:rsidR="00D66FE8">
          <w:rPr>
            <w:webHidden/>
          </w:rPr>
          <w:t>99</w:t>
        </w:r>
        <w:r w:rsidR="00B135D7">
          <w:rPr>
            <w:webHidden/>
          </w:rPr>
          <w:fldChar w:fldCharType="end"/>
        </w:r>
      </w:hyperlink>
    </w:p>
    <w:p w14:paraId="052EDDAB" w14:textId="77777777" w:rsidR="00B135D7" w:rsidRDefault="00BF1EC4">
      <w:pPr>
        <w:pStyle w:val="TOC2"/>
        <w:tabs>
          <w:tab w:val="left" w:pos="1440"/>
        </w:tabs>
        <w:rPr>
          <w:rFonts w:asciiTheme="minorHAnsi" w:eastAsiaTheme="minorEastAsia" w:hAnsiTheme="minorHAnsi"/>
          <w:b w:val="0"/>
          <w:sz w:val="22"/>
          <w:szCs w:val="22"/>
        </w:rPr>
      </w:pPr>
      <w:hyperlink w:anchor="_Toc497123850" w:history="1">
        <w:r w:rsidR="00B135D7" w:rsidRPr="00B76004">
          <w:rPr>
            <w:rStyle w:val="Hyperlink"/>
          </w:rPr>
          <w:t>N.</w:t>
        </w:r>
        <w:r w:rsidR="00B135D7">
          <w:rPr>
            <w:rFonts w:asciiTheme="minorHAnsi" w:eastAsiaTheme="minorEastAsia" w:hAnsiTheme="minorHAnsi"/>
            <w:b w:val="0"/>
            <w:sz w:val="22"/>
            <w:szCs w:val="22"/>
          </w:rPr>
          <w:tab/>
        </w:r>
        <w:r w:rsidR="00B135D7" w:rsidRPr="00B76004">
          <w:rPr>
            <w:rStyle w:val="Hyperlink"/>
          </w:rPr>
          <w:t>Rate Case and Regulatory Commission Expenses</w:t>
        </w:r>
        <w:r w:rsidR="00B135D7">
          <w:rPr>
            <w:webHidden/>
          </w:rPr>
          <w:tab/>
        </w:r>
        <w:r w:rsidR="00B135D7">
          <w:rPr>
            <w:webHidden/>
          </w:rPr>
          <w:fldChar w:fldCharType="begin"/>
        </w:r>
        <w:r w:rsidR="00B135D7">
          <w:rPr>
            <w:webHidden/>
          </w:rPr>
          <w:instrText xml:space="preserve"> PAGEREF _Toc497123850 \h </w:instrText>
        </w:r>
        <w:r w:rsidR="00B135D7">
          <w:rPr>
            <w:webHidden/>
          </w:rPr>
        </w:r>
        <w:r w:rsidR="00B135D7">
          <w:rPr>
            <w:webHidden/>
          </w:rPr>
          <w:fldChar w:fldCharType="separate"/>
        </w:r>
        <w:r w:rsidR="00D66FE8">
          <w:rPr>
            <w:webHidden/>
          </w:rPr>
          <w:t>100</w:t>
        </w:r>
        <w:r w:rsidR="00B135D7">
          <w:rPr>
            <w:webHidden/>
          </w:rPr>
          <w:fldChar w:fldCharType="end"/>
        </w:r>
      </w:hyperlink>
    </w:p>
    <w:p w14:paraId="71FA8C1C" w14:textId="77777777" w:rsidR="00B135D7" w:rsidRDefault="00BF1EC4">
      <w:pPr>
        <w:pStyle w:val="TOC2"/>
        <w:tabs>
          <w:tab w:val="left" w:pos="1440"/>
        </w:tabs>
        <w:rPr>
          <w:rFonts w:asciiTheme="minorHAnsi" w:eastAsiaTheme="minorEastAsia" w:hAnsiTheme="minorHAnsi"/>
          <w:b w:val="0"/>
          <w:sz w:val="22"/>
          <w:szCs w:val="22"/>
        </w:rPr>
      </w:pPr>
      <w:hyperlink w:anchor="_Toc497123851" w:history="1">
        <w:r w:rsidR="00B135D7" w:rsidRPr="00B76004">
          <w:rPr>
            <w:rStyle w:val="Hyperlink"/>
          </w:rPr>
          <w:t>Q.</w:t>
        </w:r>
        <w:r w:rsidR="00B135D7">
          <w:rPr>
            <w:rFonts w:asciiTheme="minorHAnsi" w:eastAsiaTheme="minorEastAsia" w:hAnsiTheme="minorHAnsi"/>
            <w:b w:val="0"/>
            <w:sz w:val="22"/>
            <w:szCs w:val="22"/>
          </w:rPr>
          <w:tab/>
        </w:r>
        <w:r w:rsidR="00B135D7" w:rsidRPr="00B76004">
          <w:rPr>
            <w:rStyle w:val="Hyperlink"/>
          </w:rPr>
          <w:t>Factoring Expense</w:t>
        </w:r>
        <w:r w:rsidR="00B135D7">
          <w:rPr>
            <w:webHidden/>
          </w:rPr>
          <w:tab/>
        </w:r>
        <w:r w:rsidR="00B135D7">
          <w:rPr>
            <w:webHidden/>
          </w:rPr>
          <w:fldChar w:fldCharType="begin"/>
        </w:r>
        <w:r w:rsidR="00B135D7">
          <w:rPr>
            <w:webHidden/>
          </w:rPr>
          <w:instrText xml:space="preserve"> PAGEREF _Toc497123851 \h </w:instrText>
        </w:r>
        <w:r w:rsidR="00B135D7">
          <w:rPr>
            <w:webHidden/>
          </w:rPr>
        </w:r>
        <w:r w:rsidR="00B135D7">
          <w:rPr>
            <w:webHidden/>
          </w:rPr>
          <w:fldChar w:fldCharType="separate"/>
        </w:r>
        <w:r w:rsidR="00D66FE8">
          <w:rPr>
            <w:webHidden/>
          </w:rPr>
          <w:t>105</w:t>
        </w:r>
        <w:r w:rsidR="00B135D7">
          <w:rPr>
            <w:webHidden/>
          </w:rPr>
          <w:fldChar w:fldCharType="end"/>
        </w:r>
      </w:hyperlink>
    </w:p>
    <w:p w14:paraId="33DE07B5" w14:textId="77777777" w:rsidR="00B135D7" w:rsidRDefault="00BF1EC4">
      <w:pPr>
        <w:pStyle w:val="TOC2"/>
        <w:tabs>
          <w:tab w:val="left" w:pos="1440"/>
        </w:tabs>
        <w:rPr>
          <w:rFonts w:asciiTheme="minorHAnsi" w:eastAsiaTheme="minorEastAsia" w:hAnsiTheme="minorHAnsi"/>
          <w:b w:val="0"/>
          <w:sz w:val="22"/>
          <w:szCs w:val="22"/>
        </w:rPr>
      </w:pPr>
      <w:hyperlink w:anchor="_Toc497123852" w:history="1">
        <w:r w:rsidR="00B135D7" w:rsidRPr="00B76004">
          <w:rPr>
            <w:rStyle w:val="Hyperlink"/>
          </w:rPr>
          <w:t>R.</w:t>
        </w:r>
        <w:r w:rsidR="00B135D7">
          <w:rPr>
            <w:rFonts w:asciiTheme="minorHAnsi" w:eastAsiaTheme="minorEastAsia" w:hAnsiTheme="minorHAnsi"/>
            <w:b w:val="0"/>
            <w:sz w:val="22"/>
            <w:szCs w:val="22"/>
          </w:rPr>
          <w:tab/>
        </w:r>
        <w:r w:rsidR="00B135D7" w:rsidRPr="00B76004">
          <w:rPr>
            <w:rStyle w:val="Hyperlink"/>
          </w:rPr>
          <w:t>Ad Valorem Taxes</w:t>
        </w:r>
        <w:r w:rsidR="00B135D7">
          <w:rPr>
            <w:webHidden/>
          </w:rPr>
          <w:tab/>
        </w:r>
        <w:r w:rsidR="00B135D7">
          <w:rPr>
            <w:webHidden/>
          </w:rPr>
          <w:fldChar w:fldCharType="begin"/>
        </w:r>
        <w:r w:rsidR="00B135D7">
          <w:rPr>
            <w:webHidden/>
          </w:rPr>
          <w:instrText xml:space="preserve"> PAGEREF _Toc497123852 \h </w:instrText>
        </w:r>
        <w:r w:rsidR="00B135D7">
          <w:rPr>
            <w:webHidden/>
          </w:rPr>
        </w:r>
        <w:r w:rsidR="00B135D7">
          <w:rPr>
            <w:webHidden/>
          </w:rPr>
          <w:fldChar w:fldCharType="separate"/>
        </w:r>
        <w:r w:rsidR="00D66FE8">
          <w:rPr>
            <w:webHidden/>
          </w:rPr>
          <w:t>106</w:t>
        </w:r>
        <w:r w:rsidR="00B135D7">
          <w:rPr>
            <w:webHidden/>
          </w:rPr>
          <w:fldChar w:fldCharType="end"/>
        </w:r>
      </w:hyperlink>
    </w:p>
    <w:p w14:paraId="67DA760E" w14:textId="77777777" w:rsidR="00B135D7" w:rsidRDefault="00BF1EC4">
      <w:pPr>
        <w:pStyle w:val="TOC1"/>
        <w:rPr>
          <w:rFonts w:asciiTheme="minorHAnsi" w:eastAsiaTheme="minorEastAsia" w:hAnsiTheme="minorHAnsi"/>
          <w:b w:val="0"/>
          <w:sz w:val="22"/>
          <w:szCs w:val="22"/>
        </w:rPr>
      </w:pPr>
      <w:hyperlink w:anchor="_Toc497123853" w:history="1">
        <w:r w:rsidR="00B135D7" w:rsidRPr="00B76004">
          <w:rPr>
            <w:rStyle w:val="Hyperlink"/>
            <w:rFonts w:ascii="Times New Roman Bold" w:hAnsi="Times New Roman Bold"/>
          </w:rPr>
          <w:t>VI.</w:t>
        </w:r>
        <w:r w:rsidR="00B135D7">
          <w:rPr>
            <w:rFonts w:asciiTheme="minorHAnsi" w:eastAsiaTheme="minorEastAsia" w:hAnsiTheme="minorHAnsi"/>
            <w:b w:val="0"/>
            <w:sz w:val="22"/>
            <w:szCs w:val="22"/>
          </w:rPr>
          <w:tab/>
        </w:r>
        <w:r w:rsidR="00B135D7" w:rsidRPr="00B76004">
          <w:rPr>
            <w:rStyle w:val="Hyperlink"/>
          </w:rPr>
          <w:t>REVENUE DISTRIBUTION AND RATE DESIGN</w:t>
        </w:r>
        <w:r w:rsidR="00B135D7">
          <w:rPr>
            <w:webHidden/>
          </w:rPr>
          <w:tab/>
        </w:r>
        <w:r w:rsidR="00B135D7">
          <w:rPr>
            <w:webHidden/>
          </w:rPr>
          <w:fldChar w:fldCharType="begin"/>
        </w:r>
        <w:r w:rsidR="00B135D7">
          <w:rPr>
            <w:webHidden/>
          </w:rPr>
          <w:instrText xml:space="preserve"> PAGEREF _Toc497123853 \h </w:instrText>
        </w:r>
        <w:r w:rsidR="00B135D7">
          <w:rPr>
            <w:webHidden/>
          </w:rPr>
        </w:r>
        <w:r w:rsidR="00B135D7">
          <w:rPr>
            <w:webHidden/>
          </w:rPr>
          <w:fldChar w:fldCharType="separate"/>
        </w:r>
        <w:r w:rsidR="00D66FE8">
          <w:rPr>
            <w:webHidden/>
          </w:rPr>
          <w:t>108</w:t>
        </w:r>
        <w:r w:rsidR="00B135D7">
          <w:rPr>
            <w:webHidden/>
          </w:rPr>
          <w:fldChar w:fldCharType="end"/>
        </w:r>
      </w:hyperlink>
    </w:p>
    <w:p w14:paraId="42EFE5FB" w14:textId="77777777" w:rsidR="00B135D7" w:rsidRDefault="00BF1EC4">
      <w:pPr>
        <w:pStyle w:val="TOC2"/>
        <w:tabs>
          <w:tab w:val="left" w:pos="1440"/>
        </w:tabs>
        <w:rPr>
          <w:rFonts w:asciiTheme="minorHAnsi" w:eastAsiaTheme="minorEastAsia" w:hAnsiTheme="minorHAnsi"/>
          <w:b w:val="0"/>
          <w:sz w:val="22"/>
          <w:szCs w:val="22"/>
        </w:rPr>
      </w:pPr>
      <w:hyperlink w:anchor="_Toc497123854" w:history="1">
        <w:r w:rsidR="00B135D7" w:rsidRPr="00B76004">
          <w:rPr>
            <w:rStyle w:val="Hyperlink"/>
          </w:rPr>
          <w:t>A.</w:t>
        </w:r>
        <w:r w:rsidR="00B135D7">
          <w:rPr>
            <w:rFonts w:asciiTheme="minorHAnsi" w:eastAsiaTheme="minorEastAsia" w:hAnsiTheme="minorHAnsi"/>
            <w:b w:val="0"/>
            <w:sz w:val="22"/>
            <w:szCs w:val="22"/>
          </w:rPr>
          <w:tab/>
        </w:r>
        <w:r w:rsidR="00B135D7" w:rsidRPr="00B76004">
          <w:rPr>
            <w:rStyle w:val="Hyperlink"/>
          </w:rPr>
          <w:t>Revenue Distribution</w:t>
        </w:r>
        <w:r w:rsidR="00B135D7">
          <w:rPr>
            <w:webHidden/>
          </w:rPr>
          <w:tab/>
        </w:r>
        <w:r w:rsidR="00B135D7">
          <w:rPr>
            <w:webHidden/>
          </w:rPr>
          <w:fldChar w:fldCharType="begin"/>
        </w:r>
        <w:r w:rsidR="00B135D7">
          <w:rPr>
            <w:webHidden/>
          </w:rPr>
          <w:instrText xml:space="preserve"> PAGEREF _Toc497123854 \h </w:instrText>
        </w:r>
        <w:r w:rsidR="00B135D7">
          <w:rPr>
            <w:webHidden/>
          </w:rPr>
        </w:r>
        <w:r w:rsidR="00B135D7">
          <w:rPr>
            <w:webHidden/>
          </w:rPr>
          <w:fldChar w:fldCharType="separate"/>
        </w:r>
        <w:r w:rsidR="00D66FE8">
          <w:rPr>
            <w:webHidden/>
          </w:rPr>
          <w:t>108</w:t>
        </w:r>
        <w:r w:rsidR="00B135D7">
          <w:rPr>
            <w:webHidden/>
          </w:rPr>
          <w:fldChar w:fldCharType="end"/>
        </w:r>
      </w:hyperlink>
    </w:p>
    <w:p w14:paraId="0856A16F" w14:textId="77777777" w:rsidR="00B135D7" w:rsidRDefault="00BF1EC4">
      <w:pPr>
        <w:pStyle w:val="TOC2"/>
        <w:tabs>
          <w:tab w:val="left" w:pos="1440"/>
        </w:tabs>
        <w:rPr>
          <w:rFonts w:asciiTheme="minorHAnsi" w:eastAsiaTheme="minorEastAsia" w:hAnsiTheme="minorHAnsi"/>
          <w:b w:val="0"/>
          <w:sz w:val="22"/>
          <w:szCs w:val="22"/>
        </w:rPr>
      </w:pPr>
      <w:hyperlink w:anchor="_Toc497123855"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Distributed Renewable Generation</w:t>
        </w:r>
        <w:r w:rsidR="00B135D7">
          <w:rPr>
            <w:webHidden/>
          </w:rPr>
          <w:tab/>
        </w:r>
        <w:r w:rsidR="00B135D7">
          <w:rPr>
            <w:webHidden/>
          </w:rPr>
          <w:fldChar w:fldCharType="begin"/>
        </w:r>
        <w:r w:rsidR="00B135D7">
          <w:rPr>
            <w:webHidden/>
          </w:rPr>
          <w:instrText xml:space="preserve"> PAGEREF _Toc497123855 \h </w:instrText>
        </w:r>
        <w:r w:rsidR="00B135D7">
          <w:rPr>
            <w:webHidden/>
          </w:rPr>
        </w:r>
        <w:r w:rsidR="00B135D7">
          <w:rPr>
            <w:webHidden/>
          </w:rPr>
          <w:fldChar w:fldCharType="separate"/>
        </w:r>
        <w:r w:rsidR="00D66FE8">
          <w:rPr>
            <w:webHidden/>
          </w:rPr>
          <w:t>115</w:t>
        </w:r>
        <w:r w:rsidR="00B135D7">
          <w:rPr>
            <w:webHidden/>
          </w:rPr>
          <w:fldChar w:fldCharType="end"/>
        </w:r>
      </w:hyperlink>
    </w:p>
    <w:p w14:paraId="7E7BCB3B" w14:textId="77777777" w:rsidR="00B135D7" w:rsidRDefault="00BF1EC4">
      <w:pPr>
        <w:pStyle w:val="TOC2"/>
        <w:tabs>
          <w:tab w:val="left" w:pos="1440"/>
        </w:tabs>
        <w:rPr>
          <w:rFonts w:asciiTheme="minorHAnsi" w:eastAsiaTheme="minorEastAsia" w:hAnsiTheme="minorHAnsi"/>
          <w:b w:val="0"/>
          <w:sz w:val="22"/>
          <w:szCs w:val="22"/>
        </w:rPr>
      </w:pPr>
      <w:hyperlink w:anchor="_Toc497123856" w:history="1">
        <w:r w:rsidR="00B135D7" w:rsidRPr="00B76004">
          <w:rPr>
            <w:rStyle w:val="Hyperlink"/>
          </w:rPr>
          <w:t>C.</w:t>
        </w:r>
        <w:r w:rsidR="00B135D7">
          <w:rPr>
            <w:rFonts w:asciiTheme="minorHAnsi" w:eastAsiaTheme="minorEastAsia" w:hAnsiTheme="minorHAnsi"/>
            <w:b w:val="0"/>
            <w:sz w:val="22"/>
            <w:szCs w:val="22"/>
          </w:rPr>
          <w:tab/>
        </w:r>
        <w:r w:rsidR="00B135D7" w:rsidRPr="00B76004">
          <w:rPr>
            <w:rStyle w:val="Hyperlink"/>
          </w:rPr>
          <w:t>Other Rate Design Issues</w:t>
        </w:r>
        <w:r w:rsidR="00B135D7">
          <w:rPr>
            <w:webHidden/>
          </w:rPr>
          <w:tab/>
        </w:r>
        <w:r w:rsidR="00B135D7">
          <w:rPr>
            <w:webHidden/>
          </w:rPr>
          <w:fldChar w:fldCharType="begin"/>
        </w:r>
        <w:r w:rsidR="00B135D7">
          <w:rPr>
            <w:webHidden/>
          </w:rPr>
          <w:instrText xml:space="preserve"> PAGEREF _Toc497123856 \h </w:instrText>
        </w:r>
        <w:r w:rsidR="00B135D7">
          <w:rPr>
            <w:webHidden/>
          </w:rPr>
        </w:r>
        <w:r w:rsidR="00B135D7">
          <w:rPr>
            <w:webHidden/>
          </w:rPr>
          <w:fldChar w:fldCharType="separate"/>
        </w:r>
        <w:r w:rsidR="00D66FE8">
          <w:rPr>
            <w:webHidden/>
          </w:rPr>
          <w:t>118</w:t>
        </w:r>
        <w:r w:rsidR="00B135D7">
          <w:rPr>
            <w:webHidden/>
          </w:rPr>
          <w:fldChar w:fldCharType="end"/>
        </w:r>
      </w:hyperlink>
    </w:p>
    <w:p w14:paraId="6E308134" w14:textId="77777777" w:rsidR="00B135D7" w:rsidRDefault="00BF1EC4">
      <w:pPr>
        <w:pStyle w:val="TOC3"/>
        <w:tabs>
          <w:tab w:val="left" w:pos="2160"/>
        </w:tabs>
        <w:rPr>
          <w:rFonts w:asciiTheme="minorHAnsi" w:eastAsiaTheme="minorEastAsia" w:hAnsiTheme="minorHAnsi"/>
          <w:b w:val="0"/>
          <w:noProof/>
          <w:sz w:val="22"/>
          <w:szCs w:val="22"/>
        </w:rPr>
      </w:pPr>
      <w:hyperlink w:anchor="_Toc497123857" w:history="1">
        <w:r w:rsidR="00B135D7" w:rsidRPr="00B76004">
          <w:rPr>
            <w:rStyle w:val="Hyperlink"/>
            <w:noProof/>
          </w:rPr>
          <w:t>1.</w:t>
        </w:r>
        <w:r w:rsidR="00B135D7">
          <w:rPr>
            <w:rFonts w:asciiTheme="minorHAnsi" w:eastAsiaTheme="minorEastAsia" w:hAnsiTheme="minorHAnsi"/>
            <w:b w:val="0"/>
            <w:noProof/>
            <w:sz w:val="22"/>
            <w:szCs w:val="22"/>
          </w:rPr>
          <w:tab/>
        </w:r>
        <w:r w:rsidR="00B135D7" w:rsidRPr="00B76004">
          <w:rPr>
            <w:rStyle w:val="Hyperlink"/>
            <w:noProof/>
          </w:rPr>
          <w:t>Lighting and Power (LP) and Large Lighting and Power (LLP)</w:t>
        </w:r>
        <w:r w:rsidR="00B135D7">
          <w:rPr>
            <w:noProof/>
            <w:webHidden/>
          </w:rPr>
          <w:tab/>
        </w:r>
        <w:r w:rsidR="00B135D7">
          <w:rPr>
            <w:noProof/>
            <w:webHidden/>
          </w:rPr>
          <w:fldChar w:fldCharType="begin"/>
        </w:r>
        <w:r w:rsidR="00B135D7">
          <w:rPr>
            <w:noProof/>
            <w:webHidden/>
          </w:rPr>
          <w:instrText xml:space="preserve"> PAGEREF _Toc497123857 \h </w:instrText>
        </w:r>
        <w:r w:rsidR="00B135D7">
          <w:rPr>
            <w:noProof/>
            <w:webHidden/>
          </w:rPr>
        </w:r>
        <w:r w:rsidR="00B135D7">
          <w:rPr>
            <w:noProof/>
            <w:webHidden/>
          </w:rPr>
          <w:fldChar w:fldCharType="separate"/>
        </w:r>
        <w:r w:rsidR="00D66FE8">
          <w:rPr>
            <w:noProof/>
            <w:webHidden/>
          </w:rPr>
          <w:t>118</w:t>
        </w:r>
        <w:r w:rsidR="00B135D7">
          <w:rPr>
            <w:noProof/>
            <w:webHidden/>
          </w:rPr>
          <w:fldChar w:fldCharType="end"/>
        </w:r>
      </w:hyperlink>
    </w:p>
    <w:p w14:paraId="55D9A1F3" w14:textId="77777777" w:rsidR="00B135D7" w:rsidRDefault="00BF1EC4">
      <w:pPr>
        <w:pStyle w:val="TOC3"/>
        <w:tabs>
          <w:tab w:val="left" w:pos="2160"/>
        </w:tabs>
        <w:rPr>
          <w:rFonts w:asciiTheme="minorHAnsi" w:eastAsiaTheme="minorEastAsia" w:hAnsiTheme="minorHAnsi"/>
          <w:b w:val="0"/>
          <w:noProof/>
          <w:sz w:val="22"/>
          <w:szCs w:val="22"/>
        </w:rPr>
      </w:pPr>
      <w:hyperlink w:anchor="_Toc497123858" w:history="1">
        <w:r w:rsidR="00B135D7" w:rsidRPr="00B76004">
          <w:rPr>
            <w:rStyle w:val="Hyperlink"/>
            <w:noProof/>
          </w:rPr>
          <w:t>2.</w:t>
        </w:r>
        <w:r w:rsidR="00B135D7">
          <w:rPr>
            <w:rFonts w:asciiTheme="minorHAnsi" w:eastAsiaTheme="minorEastAsia" w:hAnsiTheme="minorHAnsi"/>
            <w:b w:val="0"/>
            <w:noProof/>
            <w:sz w:val="22"/>
            <w:szCs w:val="22"/>
          </w:rPr>
          <w:tab/>
        </w:r>
        <w:r w:rsidR="00B135D7" w:rsidRPr="00B76004">
          <w:rPr>
            <w:rStyle w:val="Hyperlink"/>
            <w:noProof/>
          </w:rPr>
          <w:t>Metal Melting Secondary and Primary Rate Design</w:t>
        </w:r>
        <w:r w:rsidR="00B135D7">
          <w:rPr>
            <w:noProof/>
            <w:webHidden/>
          </w:rPr>
          <w:tab/>
        </w:r>
        <w:r w:rsidR="00B135D7">
          <w:rPr>
            <w:noProof/>
            <w:webHidden/>
          </w:rPr>
          <w:fldChar w:fldCharType="begin"/>
        </w:r>
        <w:r w:rsidR="00B135D7">
          <w:rPr>
            <w:noProof/>
            <w:webHidden/>
          </w:rPr>
          <w:instrText xml:space="preserve"> PAGEREF _Toc497123858 \h </w:instrText>
        </w:r>
        <w:r w:rsidR="00B135D7">
          <w:rPr>
            <w:noProof/>
            <w:webHidden/>
          </w:rPr>
        </w:r>
        <w:r w:rsidR="00B135D7">
          <w:rPr>
            <w:noProof/>
            <w:webHidden/>
          </w:rPr>
          <w:fldChar w:fldCharType="separate"/>
        </w:r>
        <w:r w:rsidR="00D66FE8">
          <w:rPr>
            <w:noProof/>
            <w:webHidden/>
          </w:rPr>
          <w:t>120</w:t>
        </w:r>
        <w:r w:rsidR="00B135D7">
          <w:rPr>
            <w:noProof/>
            <w:webHidden/>
          </w:rPr>
          <w:fldChar w:fldCharType="end"/>
        </w:r>
      </w:hyperlink>
    </w:p>
    <w:p w14:paraId="1926BD13" w14:textId="77777777" w:rsidR="00B135D7" w:rsidRDefault="00BF1EC4">
      <w:pPr>
        <w:pStyle w:val="TOC3"/>
        <w:tabs>
          <w:tab w:val="left" w:pos="2160"/>
        </w:tabs>
        <w:rPr>
          <w:rFonts w:asciiTheme="minorHAnsi" w:eastAsiaTheme="minorEastAsia" w:hAnsiTheme="minorHAnsi"/>
          <w:b w:val="0"/>
          <w:noProof/>
          <w:sz w:val="22"/>
          <w:szCs w:val="22"/>
        </w:rPr>
      </w:pPr>
      <w:hyperlink w:anchor="_Toc497123859" w:history="1">
        <w:r w:rsidR="00B135D7" w:rsidRPr="00B76004">
          <w:rPr>
            <w:rStyle w:val="Hyperlink"/>
            <w:noProof/>
          </w:rPr>
          <w:t>3.</w:t>
        </w:r>
        <w:r w:rsidR="00B135D7">
          <w:rPr>
            <w:rFonts w:asciiTheme="minorHAnsi" w:eastAsiaTheme="minorEastAsia" w:hAnsiTheme="minorHAnsi"/>
            <w:b w:val="0"/>
            <w:noProof/>
            <w:sz w:val="22"/>
            <w:szCs w:val="22"/>
          </w:rPr>
          <w:tab/>
        </w:r>
        <w:r w:rsidR="00B135D7" w:rsidRPr="00B76004">
          <w:rPr>
            <w:rStyle w:val="Hyperlink"/>
            <w:noProof/>
          </w:rPr>
          <w:t>General Service (GS) Rate Design</w:t>
        </w:r>
        <w:r w:rsidR="00B135D7">
          <w:rPr>
            <w:noProof/>
            <w:webHidden/>
          </w:rPr>
          <w:tab/>
        </w:r>
        <w:r w:rsidR="00B135D7">
          <w:rPr>
            <w:noProof/>
            <w:webHidden/>
          </w:rPr>
          <w:fldChar w:fldCharType="begin"/>
        </w:r>
        <w:r w:rsidR="00B135D7">
          <w:rPr>
            <w:noProof/>
            <w:webHidden/>
          </w:rPr>
          <w:instrText xml:space="preserve"> PAGEREF _Toc497123859 \h </w:instrText>
        </w:r>
        <w:r w:rsidR="00B135D7">
          <w:rPr>
            <w:noProof/>
            <w:webHidden/>
          </w:rPr>
        </w:r>
        <w:r w:rsidR="00B135D7">
          <w:rPr>
            <w:noProof/>
            <w:webHidden/>
          </w:rPr>
          <w:fldChar w:fldCharType="separate"/>
        </w:r>
        <w:r w:rsidR="00D66FE8">
          <w:rPr>
            <w:noProof/>
            <w:webHidden/>
          </w:rPr>
          <w:t>120</w:t>
        </w:r>
        <w:r w:rsidR="00B135D7">
          <w:rPr>
            <w:noProof/>
            <w:webHidden/>
          </w:rPr>
          <w:fldChar w:fldCharType="end"/>
        </w:r>
      </w:hyperlink>
    </w:p>
    <w:p w14:paraId="7E30348D" w14:textId="77777777" w:rsidR="00B135D7" w:rsidRDefault="00BF1EC4">
      <w:pPr>
        <w:pStyle w:val="TOC3"/>
        <w:tabs>
          <w:tab w:val="left" w:pos="2160"/>
        </w:tabs>
        <w:rPr>
          <w:rFonts w:asciiTheme="minorHAnsi" w:eastAsiaTheme="minorEastAsia" w:hAnsiTheme="minorHAnsi"/>
          <w:b w:val="0"/>
          <w:noProof/>
          <w:sz w:val="22"/>
          <w:szCs w:val="22"/>
        </w:rPr>
      </w:pPr>
      <w:hyperlink w:anchor="_Toc497123860" w:history="1">
        <w:r w:rsidR="00B135D7" w:rsidRPr="00B76004">
          <w:rPr>
            <w:rStyle w:val="Hyperlink"/>
            <w:noProof/>
          </w:rPr>
          <w:t>4.</w:t>
        </w:r>
        <w:r w:rsidR="00B135D7">
          <w:rPr>
            <w:rFonts w:asciiTheme="minorHAnsi" w:eastAsiaTheme="minorEastAsia" w:hAnsiTheme="minorHAnsi"/>
            <w:b w:val="0"/>
            <w:noProof/>
            <w:sz w:val="22"/>
            <w:szCs w:val="22"/>
          </w:rPr>
          <w:tab/>
        </w:r>
        <w:r w:rsidR="00B135D7" w:rsidRPr="00B76004">
          <w:rPr>
            <w:rStyle w:val="Hyperlink"/>
            <w:noProof/>
          </w:rPr>
          <w:t>Electric Furnace, US Steel, and Cotton Gin Light and Power Rates</w:t>
        </w:r>
        <w:r w:rsidR="00B135D7">
          <w:rPr>
            <w:noProof/>
            <w:webHidden/>
          </w:rPr>
          <w:tab/>
        </w:r>
        <w:r w:rsidR="00B135D7">
          <w:rPr>
            <w:noProof/>
            <w:webHidden/>
          </w:rPr>
          <w:fldChar w:fldCharType="begin"/>
        </w:r>
        <w:r w:rsidR="00B135D7">
          <w:rPr>
            <w:noProof/>
            <w:webHidden/>
          </w:rPr>
          <w:instrText xml:space="preserve"> PAGEREF _Toc497123860 \h </w:instrText>
        </w:r>
        <w:r w:rsidR="00B135D7">
          <w:rPr>
            <w:noProof/>
            <w:webHidden/>
          </w:rPr>
        </w:r>
        <w:r w:rsidR="00B135D7">
          <w:rPr>
            <w:noProof/>
            <w:webHidden/>
          </w:rPr>
          <w:fldChar w:fldCharType="separate"/>
        </w:r>
        <w:r w:rsidR="00D66FE8">
          <w:rPr>
            <w:noProof/>
            <w:webHidden/>
          </w:rPr>
          <w:t>121</w:t>
        </w:r>
        <w:r w:rsidR="00B135D7">
          <w:rPr>
            <w:noProof/>
            <w:webHidden/>
          </w:rPr>
          <w:fldChar w:fldCharType="end"/>
        </w:r>
      </w:hyperlink>
    </w:p>
    <w:p w14:paraId="1A5CFD56" w14:textId="77777777" w:rsidR="00B135D7" w:rsidRDefault="00BF1EC4">
      <w:pPr>
        <w:pStyle w:val="TOC3"/>
        <w:tabs>
          <w:tab w:val="left" w:pos="2160"/>
        </w:tabs>
        <w:rPr>
          <w:rFonts w:asciiTheme="minorHAnsi" w:eastAsiaTheme="minorEastAsia" w:hAnsiTheme="minorHAnsi"/>
          <w:b w:val="0"/>
          <w:noProof/>
          <w:sz w:val="22"/>
          <w:szCs w:val="22"/>
        </w:rPr>
      </w:pPr>
      <w:hyperlink w:anchor="_Toc497123861" w:history="1">
        <w:r w:rsidR="00B135D7" w:rsidRPr="00B76004">
          <w:rPr>
            <w:rStyle w:val="Hyperlink"/>
            <w:noProof/>
          </w:rPr>
          <w:t>5.</w:t>
        </w:r>
        <w:r w:rsidR="00B135D7">
          <w:rPr>
            <w:rFonts w:asciiTheme="minorHAnsi" w:eastAsiaTheme="minorEastAsia" w:hAnsiTheme="minorHAnsi"/>
            <w:b w:val="0"/>
            <w:noProof/>
            <w:sz w:val="22"/>
            <w:szCs w:val="22"/>
          </w:rPr>
          <w:tab/>
        </w:r>
        <w:r w:rsidR="00B135D7" w:rsidRPr="00B76004">
          <w:rPr>
            <w:rStyle w:val="Hyperlink"/>
            <w:noProof/>
          </w:rPr>
          <w:t>Winter Declining Block Rates</w:t>
        </w:r>
        <w:r w:rsidR="00B135D7">
          <w:rPr>
            <w:noProof/>
            <w:webHidden/>
          </w:rPr>
          <w:tab/>
        </w:r>
        <w:r w:rsidR="00B135D7">
          <w:rPr>
            <w:noProof/>
            <w:webHidden/>
          </w:rPr>
          <w:fldChar w:fldCharType="begin"/>
        </w:r>
        <w:r w:rsidR="00B135D7">
          <w:rPr>
            <w:noProof/>
            <w:webHidden/>
          </w:rPr>
          <w:instrText xml:space="preserve"> PAGEREF _Toc497123861 \h </w:instrText>
        </w:r>
        <w:r w:rsidR="00B135D7">
          <w:rPr>
            <w:noProof/>
            <w:webHidden/>
          </w:rPr>
        </w:r>
        <w:r w:rsidR="00B135D7">
          <w:rPr>
            <w:noProof/>
            <w:webHidden/>
          </w:rPr>
          <w:fldChar w:fldCharType="separate"/>
        </w:r>
        <w:r w:rsidR="00D66FE8">
          <w:rPr>
            <w:noProof/>
            <w:webHidden/>
          </w:rPr>
          <w:t>121</w:t>
        </w:r>
        <w:r w:rsidR="00B135D7">
          <w:rPr>
            <w:noProof/>
            <w:webHidden/>
          </w:rPr>
          <w:fldChar w:fldCharType="end"/>
        </w:r>
      </w:hyperlink>
    </w:p>
    <w:p w14:paraId="7C6F864F" w14:textId="77777777" w:rsidR="00B135D7" w:rsidRDefault="00BF1EC4">
      <w:pPr>
        <w:pStyle w:val="TOC1"/>
        <w:rPr>
          <w:rFonts w:asciiTheme="minorHAnsi" w:eastAsiaTheme="minorEastAsia" w:hAnsiTheme="minorHAnsi"/>
          <w:b w:val="0"/>
          <w:sz w:val="22"/>
          <w:szCs w:val="22"/>
        </w:rPr>
      </w:pPr>
      <w:hyperlink w:anchor="_Toc497123862" w:history="1">
        <w:r w:rsidR="00B135D7" w:rsidRPr="00B76004">
          <w:rPr>
            <w:rStyle w:val="Hyperlink"/>
            <w:rFonts w:ascii="Times New Roman Bold" w:hAnsi="Times New Roman Bold"/>
          </w:rPr>
          <w:t>VII.</w:t>
        </w:r>
        <w:r w:rsidR="00B135D7">
          <w:rPr>
            <w:rFonts w:asciiTheme="minorHAnsi" w:eastAsiaTheme="minorEastAsia" w:hAnsiTheme="minorHAnsi"/>
            <w:b w:val="0"/>
            <w:sz w:val="22"/>
            <w:szCs w:val="22"/>
          </w:rPr>
          <w:tab/>
        </w:r>
        <w:r w:rsidR="00B135D7" w:rsidRPr="00B76004">
          <w:rPr>
            <w:rStyle w:val="Hyperlink"/>
          </w:rPr>
          <w:t>TCRF and DCRF Issues</w:t>
        </w:r>
        <w:r w:rsidR="00B135D7">
          <w:rPr>
            <w:webHidden/>
          </w:rPr>
          <w:tab/>
        </w:r>
        <w:r w:rsidR="00B135D7">
          <w:rPr>
            <w:webHidden/>
          </w:rPr>
          <w:fldChar w:fldCharType="begin"/>
        </w:r>
        <w:r w:rsidR="00B135D7">
          <w:rPr>
            <w:webHidden/>
          </w:rPr>
          <w:instrText xml:space="preserve"> PAGEREF _Toc497123862 \h </w:instrText>
        </w:r>
        <w:r w:rsidR="00B135D7">
          <w:rPr>
            <w:webHidden/>
          </w:rPr>
        </w:r>
        <w:r w:rsidR="00B135D7">
          <w:rPr>
            <w:webHidden/>
          </w:rPr>
          <w:fldChar w:fldCharType="separate"/>
        </w:r>
        <w:r w:rsidR="00D66FE8">
          <w:rPr>
            <w:webHidden/>
          </w:rPr>
          <w:t>121</w:t>
        </w:r>
        <w:r w:rsidR="00B135D7">
          <w:rPr>
            <w:webHidden/>
          </w:rPr>
          <w:fldChar w:fldCharType="end"/>
        </w:r>
      </w:hyperlink>
    </w:p>
    <w:p w14:paraId="5D807C22" w14:textId="77777777" w:rsidR="00B135D7" w:rsidRDefault="00BF1EC4">
      <w:pPr>
        <w:pStyle w:val="TOC2"/>
        <w:tabs>
          <w:tab w:val="left" w:pos="1440"/>
        </w:tabs>
        <w:rPr>
          <w:rFonts w:asciiTheme="minorHAnsi" w:eastAsiaTheme="minorEastAsia" w:hAnsiTheme="minorHAnsi"/>
          <w:b w:val="0"/>
          <w:sz w:val="22"/>
          <w:szCs w:val="22"/>
        </w:rPr>
      </w:pPr>
      <w:hyperlink w:anchor="_Toc497123863" w:history="1">
        <w:r w:rsidR="00B135D7" w:rsidRPr="00B76004">
          <w:rPr>
            <w:rStyle w:val="Hyperlink"/>
          </w:rPr>
          <w:t>B.</w:t>
        </w:r>
        <w:r w:rsidR="00B135D7">
          <w:rPr>
            <w:rFonts w:asciiTheme="minorHAnsi" w:eastAsiaTheme="minorEastAsia" w:hAnsiTheme="minorHAnsi"/>
            <w:b w:val="0"/>
            <w:sz w:val="22"/>
            <w:szCs w:val="22"/>
          </w:rPr>
          <w:tab/>
        </w:r>
        <w:r w:rsidR="00B135D7" w:rsidRPr="00B76004">
          <w:rPr>
            <w:rStyle w:val="Hyperlink"/>
          </w:rPr>
          <w:t>Refund of Over-Recovered Amounts of TCRF Revenues</w:t>
        </w:r>
        <w:r w:rsidR="00B135D7">
          <w:rPr>
            <w:webHidden/>
          </w:rPr>
          <w:tab/>
        </w:r>
        <w:r w:rsidR="00B135D7">
          <w:rPr>
            <w:webHidden/>
          </w:rPr>
          <w:fldChar w:fldCharType="begin"/>
        </w:r>
        <w:r w:rsidR="00B135D7">
          <w:rPr>
            <w:webHidden/>
          </w:rPr>
          <w:instrText xml:space="preserve"> PAGEREF _Toc497123863 \h </w:instrText>
        </w:r>
        <w:r w:rsidR="00B135D7">
          <w:rPr>
            <w:webHidden/>
          </w:rPr>
        </w:r>
        <w:r w:rsidR="00B135D7">
          <w:rPr>
            <w:webHidden/>
          </w:rPr>
          <w:fldChar w:fldCharType="separate"/>
        </w:r>
        <w:r w:rsidR="00D66FE8">
          <w:rPr>
            <w:webHidden/>
          </w:rPr>
          <w:t>121</w:t>
        </w:r>
        <w:r w:rsidR="00B135D7">
          <w:rPr>
            <w:webHidden/>
          </w:rPr>
          <w:fldChar w:fldCharType="end"/>
        </w:r>
      </w:hyperlink>
    </w:p>
    <w:p w14:paraId="252712B9" w14:textId="77777777" w:rsidR="00B135D7" w:rsidRDefault="00BF1EC4">
      <w:pPr>
        <w:pStyle w:val="TOC1"/>
        <w:rPr>
          <w:rFonts w:asciiTheme="minorHAnsi" w:eastAsiaTheme="minorEastAsia" w:hAnsiTheme="minorHAnsi"/>
          <w:b w:val="0"/>
          <w:sz w:val="22"/>
          <w:szCs w:val="22"/>
        </w:rPr>
      </w:pPr>
      <w:hyperlink w:anchor="_Toc497123864" w:history="1">
        <w:r w:rsidR="00B135D7" w:rsidRPr="00B76004">
          <w:rPr>
            <w:rStyle w:val="Hyperlink"/>
            <w:rFonts w:ascii="Times New Roman Bold" w:hAnsi="Times New Roman Bold"/>
          </w:rPr>
          <w:t>XIII.</w:t>
        </w:r>
        <w:r w:rsidR="00B135D7">
          <w:rPr>
            <w:rFonts w:asciiTheme="minorHAnsi" w:eastAsiaTheme="minorEastAsia" w:hAnsiTheme="minorHAnsi"/>
            <w:b w:val="0"/>
            <w:sz w:val="22"/>
            <w:szCs w:val="22"/>
          </w:rPr>
          <w:tab/>
        </w:r>
        <w:r w:rsidR="00B135D7" w:rsidRPr="00B76004">
          <w:rPr>
            <w:rStyle w:val="Hyperlink"/>
          </w:rPr>
          <w:t>OTHER ISSUES</w:t>
        </w:r>
        <w:r w:rsidR="00B135D7">
          <w:rPr>
            <w:webHidden/>
          </w:rPr>
          <w:tab/>
        </w:r>
        <w:r w:rsidR="00B135D7">
          <w:rPr>
            <w:webHidden/>
          </w:rPr>
          <w:fldChar w:fldCharType="begin"/>
        </w:r>
        <w:r w:rsidR="00B135D7">
          <w:rPr>
            <w:webHidden/>
          </w:rPr>
          <w:instrText xml:space="preserve"> PAGEREF _Toc497123864 \h </w:instrText>
        </w:r>
        <w:r w:rsidR="00B135D7">
          <w:rPr>
            <w:webHidden/>
          </w:rPr>
        </w:r>
        <w:r w:rsidR="00B135D7">
          <w:rPr>
            <w:webHidden/>
          </w:rPr>
          <w:fldChar w:fldCharType="separate"/>
        </w:r>
        <w:r w:rsidR="00D66FE8">
          <w:rPr>
            <w:webHidden/>
          </w:rPr>
          <w:t>122</w:t>
        </w:r>
        <w:r w:rsidR="00B135D7">
          <w:rPr>
            <w:webHidden/>
          </w:rPr>
          <w:fldChar w:fldCharType="end"/>
        </w:r>
      </w:hyperlink>
    </w:p>
    <w:p w14:paraId="67060C09" w14:textId="77777777" w:rsidR="00B135D7" w:rsidRDefault="00BF1EC4">
      <w:pPr>
        <w:pStyle w:val="TOC1"/>
        <w:rPr>
          <w:rFonts w:asciiTheme="minorHAnsi" w:eastAsiaTheme="minorEastAsia" w:hAnsiTheme="minorHAnsi"/>
          <w:b w:val="0"/>
          <w:sz w:val="22"/>
          <w:szCs w:val="22"/>
        </w:rPr>
      </w:pPr>
      <w:hyperlink w:anchor="_Toc497123865" w:history="1">
        <w:r w:rsidR="00B135D7" w:rsidRPr="00B76004">
          <w:rPr>
            <w:rStyle w:val="Hyperlink"/>
            <w:rFonts w:ascii="Times New Roman Bold" w:hAnsi="Times New Roman Bold"/>
          </w:rPr>
          <w:t>XIV.</w:t>
        </w:r>
        <w:r w:rsidR="00B135D7">
          <w:rPr>
            <w:rFonts w:asciiTheme="minorHAnsi" w:eastAsiaTheme="minorEastAsia" w:hAnsiTheme="minorHAnsi"/>
            <w:b w:val="0"/>
            <w:sz w:val="22"/>
            <w:szCs w:val="22"/>
          </w:rPr>
          <w:tab/>
        </w:r>
        <w:r w:rsidR="00B135D7" w:rsidRPr="00B76004">
          <w:rPr>
            <w:rStyle w:val="Hyperlink"/>
          </w:rPr>
          <w:t>CONCLUSION</w:t>
        </w:r>
        <w:r w:rsidR="00B135D7">
          <w:rPr>
            <w:webHidden/>
          </w:rPr>
          <w:tab/>
        </w:r>
        <w:r w:rsidR="00B135D7">
          <w:rPr>
            <w:webHidden/>
          </w:rPr>
          <w:fldChar w:fldCharType="begin"/>
        </w:r>
        <w:r w:rsidR="00B135D7">
          <w:rPr>
            <w:webHidden/>
          </w:rPr>
          <w:instrText xml:space="preserve"> PAGEREF _Toc497123865 \h </w:instrText>
        </w:r>
        <w:r w:rsidR="00B135D7">
          <w:rPr>
            <w:webHidden/>
          </w:rPr>
        </w:r>
        <w:r w:rsidR="00B135D7">
          <w:rPr>
            <w:webHidden/>
          </w:rPr>
          <w:fldChar w:fldCharType="separate"/>
        </w:r>
        <w:r w:rsidR="00D66FE8">
          <w:rPr>
            <w:webHidden/>
          </w:rPr>
          <w:t>127</w:t>
        </w:r>
        <w:r w:rsidR="00B135D7">
          <w:rPr>
            <w:webHidden/>
          </w:rPr>
          <w:fldChar w:fldCharType="end"/>
        </w:r>
      </w:hyperlink>
    </w:p>
    <w:p w14:paraId="6E08A463" w14:textId="77777777" w:rsidR="00302357" w:rsidRDefault="00466C4B" w:rsidP="00D43237">
      <w:pPr>
        <w:pStyle w:val="BodyText"/>
        <w:spacing w:after="240" w:line="240" w:lineRule="auto"/>
        <w:ind w:firstLine="0"/>
        <w:jc w:val="center"/>
      </w:pPr>
      <w:r w:rsidRPr="00D43237">
        <w:rPr>
          <w:b/>
        </w:rPr>
        <w:fldChar w:fldCharType="end"/>
      </w:r>
    </w:p>
    <w:p w14:paraId="5C97521D" w14:textId="77777777" w:rsidR="001B3A20" w:rsidRDefault="001B3A20" w:rsidP="00302357">
      <w:pPr>
        <w:pStyle w:val="Heading1"/>
        <w:numPr>
          <w:ilvl w:val="0"/>
          <w:numId w:val="0"/>
        </w:numPr>
        <w:sectPr w:rsidR="001B3A20" w:rsidSect="00333E80">
          <w:headerReference w:type="default" r:id="rId8"/>
          <w:headerReference w:type="first" r:id="rId9"/>
          <w:pgSz w:w="12240" w:h="15840" w:code="1"/>
          <w:pgMar w:top="1440" w:right="1440" w:bottom="1440" w:left="1440" w:header="1008" w:footer="720" w:gutter="0"/>
          <w:pgNumType w:fmt="lowerRoman" w:start="1"/>
          <w:cols w:space="720"/>
          <w:noEndnote/>
          <w:titlePg/>
          <w:docGrid w:linePitch="326"/>
        </w:sectPr>
      </w:pPr>
    </w:p>
    <w:p w14:paraId="34360ECF" w14:textId="77777777" w:rsidR="00EA45A3" w:rsidRDefault="00EA45A3" w:rsidP="002C03C1">
      <w:pPr>
        <w:widowControl/>
        <w:spacing w:line="240" w:lineRule="auto"/>
        <w:ind w:firstLine="0"/>
        <w:jc w:val="center"/>
        <w:rPr>
          <w:b/>
          <w:bCs/>
        </w:rPr>
      </w:pPr>
      <w:proofErr w:type="gramStart"/>
      <w:r>
        <w:rPr>
          <w:b/>
          <w:bCs/>
        </w:rPr>
        <w:lastRenderedPageBreak/>
        <w:t>PUC DOCKET NO.</w:t>
      </w:r>
      <w:proofErr w:type="gramEnd"/>
      <w:r>
        <w:rPr>
          <w:b/>
          <w:bCs/>
        </w:rPr>
        <w:t xml:space="preserve"> 46449</w:t>
      </w:r>
    </w:p>
    <w:p w14:paraId="18E2E0BC" w14:textId="77777777" w:rsidR="00EA45A3" w:rsidRDefault="00EA45A3" w:rsidP="002C03C1">
      <w:pPr>
        <w:widowControl/>
        <w:spacing w:after="360" w:line="240" w:lineRule="auto"/>
        <w:ind w:firstLine="0"/>
        <w:jc w:val="center"/>
        <w:rPr>
          <w:b/>
          <w:bCs/>
        </w:rPr>
      </w:pPr>
      <w:proofErr w:type="gramStart"/>
      <w:r>
        <w:rPr>
          <w:b/>
          <w:bCs/>
        </w:rPr>
        <w:t>SOAH DOCKET NO.</w:t>
      </w:r>
      <w:proofErr w:type="gramEnd"/>
      <w:r>
        <w:rPr>
          <w:b/>
          <w:bCs/>
        </w:rPr>
        <w:t xml:space="preserve"> 473-17-1764</w:t>
      </w:r>
    </w:p>
    <w:tbl>
      <w:tblPr>
        <w:tblW w:w="0" w:type="auto"/>
        <w:tblLook w:val="01E0" w:firstRow="1" w:lastRow="1" w:firstColumn="1" w:lastColumn="1" w:noHBand="0" w:noVBand="0"/>
      </w:tblPr>
      <w:tblGrid>
        <w:gridCol w:w="4752"/>
        <w:gridCol w:w="336"/>
        <w:gridCol w:w="4488"/>
      </w:tblGrid>
      <w:tr w:rsidR="00EA45A3" w:rsidRPr="004E7F89" w14:paraId="132D7B2B" w14:textId="77777777" w:rsidTr="00DB1985">
        <w:tc>
          <w:tcPr>
            <w:tcW w:w="4752" w:type="dxa"/>
          </w:tcPr>
          <w:p w14:paraId="52D4555A" w14:textId="77777777" w:rsidR="00EA45A3" w:rsidRDefault="00EA45A3" w:rsidP="00DB1985">
            <w:pPr>
              <w:widowControl/>
              <w:tabs>
                <w:tab w:val="center" w:pos="4680"/>
              </w:tabs>
              <w:spacing w:line="240" w:lineRule="auto"/>
              <w:ind w:firstLine="0"/>
              <w:jc w:val="left"/>
              <w:rPr>
                <w:b/>
                <w:bCs/>
              </w:rPr>
            </w:pPr>
            <w:r w:rsidRPr="004E7F89">
              <w:rPr>
                <w:b/>
                <w:bCs/>
              </w:rPr>
              <w:t xml:space="preserve">APPLICATION OF </w:t>
            </w:r>
            <w:r>
              <w:rPr>
                <w:b/>
                <w:bCs/>
              </w:rPr>
              <w:t>SOUTHWESTERN</w:t>
            </w:r>
          </w:p>
          <w:p w14:paraId="36DB3B5B" w14:textId="77777777" w:rsidR="00EA45A3" w:rsidRDefault="00EA45A3" w:rsidP="00DB1985">
            <w:pPr>
              <w:widowControl/>
              <w:tabs>
                <w:tab w:val="center" w:pos="4680"/>
              </w:tabs>
              <w:spacing w:line="240" w:lineRule="auto"/>
              <w:ind w:firstLine="0"/>
              <w:rPr>
                <w:b/>
                <w:bCs/>
              </w:rPr>
            </w:pPr>
            <w:r>
              <w:rPr>
                <w:b/>
                <w:bCs/>
              </w:rPr>
              <w:t>ELECTRIC POWER COMPANY FOR</w:t>
            </w:r>
          </w:p>
          <w:p w14:paraId="1380EDD9" w14:textId="77777777" w:rsidR="00EA45A3" w:rsidRPr="004E7F89" w:rsidRDefault="00EA45A3" w:rsidP="00DB1985">
            <w:pPr>
              <w:widowControl/>
              <w:tabs>
                <w:tab w:val="center" w:pos="4680"/>
              </w:tabs>
              <w:spacing w:line="240" w:lineRule="auto"/>
              <w:ind w:firstLine="0"/>
              <w:rPr>
                <w:b/>
                <w:bCs/>
              </w:rPr>
            </w:pPr>
            <w:r>
              <w:rPr>
                <w:b/>
                <w:bCs/>
              </w:rPr>
              <w:t>AUTHORITY TO CHANGE RATES</w:t>
            </w:r>
          </w:p>
        </w:tc>
        <w:tc>
          <w:tcPr>
            <w:tcW w:w="336" w:type="dxa"/>
          </w:tcPr>
          <w:p w14:paraId="543164DD" w14:textId="77777777" w:rsidR="00EA45A3" w:rsidRDefault="00EA45A3" w:rsidP="00DB1985">
            <w:pPr>
              <w:widowControl/>
              <w:tabs>
                <w:tab w:val="center" w:pos="4680"/>
              </w:tabs>
              <w:spacing w:line="240" w:lineRule="auto"/>
              <w:ind w:firstLine="0"/>
              <w:rPr>
                <w:b/>
                <w:bCs/>
              </w:rPr>
            </w:pPr>
            <w:r w:rsidRPr="004E7F89">
              <w:rPr>
                <w:b/>
                <w:bCs/>
              </w:rPr>
              <w:t>§</w:t>
            </w:r>
          </w:p>
          <w:p w14:paraId="05F7539F" w14:textId="77777777" w:rsidR="00EA45A3" w:rsidRDefault="00EA45A3" w:rsidP="00DB1985">
            <w:pPr>
              <w:widowControl/>
              <w:tabs>
                <w:tab w:val="center" w:pos="4680"/>
              </w:tabs>
              <w:spacing w:line="240" w:lineRule="auto"/>
              <w:ind w:firstLine="0"/>
              <w:rPr>
                <w:b/>
                <w:bCs/>
              </w:rPr>
            </w:pPr>
            <w:r w:rsidRPr="004E7F89">
              <w:rPr>
                <w:b/>
                <w:bCs/>
              </w:rPr>
              <w:t>§</w:t>
            </w:r>
          </w:p>
          <w:p w14:paraId="7C4FAC5C" w14:textId="77777777" w:rsidR="00EA45A3" w:rsidRPr="004E7F89" w:rsidRDefault="00EA45A3" w:rsidP="00DB1985">
            <w:pPr>
              <w:widowControl/>
              <w:tabs>
                <w:tab w:val="center" w:pos="4680"/>
              </w:tabs>
              <w:spacing w:line="240" w:lineRule="auto"/>
              <w:ind w:firstLine="0"/>
              <w:rPr>
                <w:b/>
                <w:bCs/>
              </w:rPr>
            </w:pPr>
            <w:r w:rsidRPr="004E7F89">
              <w:rPr>
                <w:b/>
                <w:bCs/>
              </w:rPr>
              <w:t>§</w:t>
            </w:r>
          </w:p>
        </w:tc>
        <w:tc>
          <w:tcPr>
            <w:tcW w:w="4488" w:type="dxa"/>
          </w:tcPr>
          <w:p w14:paraId="17944F11" w14:textId="77777777" w:rsidR="00EA45A3" w:rsidRDefault="00EA45A3" w:rsidP="002C03C1">
            <w:pPr>
              <w:widowControl/>
              <w:tabs>
                <w:tab w:val="center" w:pos="4680"/>
              </w:tabs>
              <w:spacing w:line="240" w:lineRule="auto"/>
              <w:ind w:left="42" w:firstLine="0"/>
              <w:jc w:val="center"/>
              <w:rPr>
                <w:b/>
                <w:bCs/>
              </w:rPr>
            </w:pPr>
            <w:r>
              <w:rPr>
                <w:b/>
                <w:bCs/>
              </w:rPr>
              <w:t>BEFORE THE PUBLIC UTILITY</w:t>
            </w:r>
          </w:p>
          <w:p w14:paraId="2FAA0C94" w14:textId="77777777" w:rsidR="00EA45A3" w:rsidRDefault="00EA45A3" w:rsidP="00DB1985">
            <w:pPr>
              <w:widowControl/>
              <w:tabs>
                <w:tab w:val="center" w:pos="4680"/>
              </w:tabs>
              <w:spacing w:line="240" w:lineRule="auto"/>
              <w:jc w:val="center"/>
              <w:rPr>
                <w:b/>
                <w:bCs/>
              </w:rPr>
            </w:pPr>
          </w:p>
          <w:p w14:paraId="29B15598" w14:textId="77777777" w:rsidR="00EA45A3" w:rsidRPr="004E7F89" w:rsidRDefault="00EA45A3" w:rsidP="002C03C1">
            <w:pPr>
              <w:widowControl/>
              <w:tabs>
                <w:tab w:val="center" w:pos="4680"/>
              </w:tabs>
              <w:spacing w:line="240" w:lineRule="auto"/>
              <w:ind w:left="42" w:firstLine="0"/>
              <w:jc w:val="center"/>
              <w:rPr>
                <w:b/>
                <w:bCs/>
              </w:rPr>
            </w:pPr>
            <w:r>
              <w:rPr>
                <w:b/>
                <w:bCs/>
              </w:rPr>
              <w:t>COMMISSION OF TEXAS</w:t>
            </w:r>
          </w:p>
        </w:tc>
      </w:tr>
    </w:tbl>
    <w:p w14:paraId="52DAD705" w14:textId="77777777" w:rsidR="00EA45A3" w:rsidRDefault="00EA45A3" w:rsidP="00EA45A3">
      <w:pPr>
        <w:widowControl/>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spacing w:line="240" w:lineRule="auto"/>
        <w:jc w:val="center"/>
        <w:rPr>
          <w:b/>
          <w:bCs/>
        </w:rPr>
      </w:pPr>
    </w:p>
    <w:p w14:paraId="3077AFB6" w14:textId="77777777" w:rsidR="00EA45A3" w:rsidRDefault="00EA45A3" w:rsidP="002943E5">
      <w:pPr>
        <w:widowControl/>
        <w:spacing w:line="240" w:lineRule="auto"/>
        <w:ind w:firstLine="0"/>
        <w:jc w:val="center"/>
        <w:rPr>
          <w:b/>
          <w:bCs/>
        </w:rPr>
      </w:pPr>
      <w:r>
        <w:rPr>
          <w:b/>
          <w:bCs/>
        </w:rPr>
        <w:t>SOUTHWESTERN ELECTRIC POWER COMPANY’S</w:t>
      </w:r>
    </w:p>
    <w:p w14:paraId="7A9CAB3C" w14:textId="77777777" w:rsidR="00EA45A3" w:rsidRDefault="00EA45A3" w:rsidP="002943E5">
      <w:pPr>
        <w:widowControl/>
        <w:spacing w:line="240" w:lineRule="auto"/>
        <w:ind w:firstLine="0"/>
        <w:jc w:val="center"/>
        <w:rPr>
          <w:b/>
          <w:bCs/>
          <w:u w:val="single"/>
        </w:rPr>
      </w:pPr>
      <w:r w:rsidRPr="00780315">
        <w:rPr>
          <w:b/>
          <w:bCs/>
          <w:u w:val="single"/>
        </w:rPr>
        <w:t>REPL</w:t>
      </w:r>
      <w:r w:rsidR="00727878">
        <w:rPr>
          <w:b/>
          <w:bCs/>
          <w:u w:val="single"/>
        </w:rPr>
        <w:t>Y</w:t>
      </w:r>
      <w:r w:rsidRPr="00780315">
        <w:rPr>
          <w:b/>
          <w:bCs/>
          <w:u w:val="single"/>
        </w:rPr>
        <w:t xml:space="preserve"> TO THE EXCEPTIONS TO THE PROPOSAL FOR DECISION</w:t>
      </w:r>
    </w:p>
    <w:p w14:paraId="67621FFF" w14:textId="77777777" w:rsidR="00780315" w:rsidRDefault="00780315" w:rsidP="00EA45A3">
      <w:pPr>
        <w:widowControl/>
        <w:tabs>
          <w:tab w:val="center" w:pos="4680"/>
        </w:tabs>
        <w:spacing w:line="240" w:lineRule="auto"/>
        <w:rPr>
          <w:b/>
          <w:bCs/>
        </w:rPr>
      </w:pPr>
    </w:p>
    <w:p w14:paraId="3A725593" w14:textId="77777777" w:rsidR="003A25AF" w:rsidRDefault="003A25AF" w:rsidP="00463FE4">
      <w:pPr>
        <w:pStyle w:val="Heading1"/>
        <w:ind w:left="0" w:firstLine="0"/>
      </w:pPr>
      <w:bookmarkStart w:id="1" w:name="_Toc272239167"/>
      <w:bookmarkStart w:id="2" w:name="_Toc272239401"/>
      <w:bookmarkStart w:id="3" w:name="_Toc497123812"/>
      <w:r w:rsidRPr="00BD5069">
        <w:t>INTRODUCTION</w:t>
      </w:r>
      <w:bookmarkEnd w:id="1"/>
      <w:bookmarkEnd w:id="2"/>
      <w:bookmarkEnd w:id="3"/>
    </w:p>
    <w:p w14:paraId="4F49BD5F" w14:textId="77777777" w:rsidR="00463FE4" w:rsidRDefault="00463FE4" w:rsidP="00463FE4">
      <w:r>
        <w:t xml:space="preserve">SWEPCO respectfully submits its Reply to the Exceptions to the Proposal </w:t>
      </w:r>
      <w:proofErr w:type="gramStart"/>
      <w:r>
        <w:t>For</w:t>
      </w:r>
      <w:proofErr w:type="gramEnd"/>
      <w:r>
        <w:t xml:space="preserve"> Decision (PFD) of Staff and intervenors in this case.  The Administrative Law Judges (ALJs) properly evaluated the law and evidence on these points.  Save for several clarifying points in Staff’s Exceptions with which the Company agrees, the ALJs’ recommendations should be adopted and the exceptions of the other parties should be overruled.  </w:t>
      </w:r>
    </w:p>
    <w:p w14:paraId="5AF2BE9A" w14:textId="77777777" w:rsidR="00BD5069" w:rsidRPr="00BD5069" w:rsidRDefault="00463FE4" w:rsidP="00463FE4">
      <w:r>
        <w:t xml:space="preserve">Due to the collective length of the exceptions of the other parties (in excess of 280 pages, exclusive of table of contents and signature pages) SWEPCO seeks leave to exceed the 100 page limit on documents, set out in 16 Tex. Admin. Code (TAC) </w:t>
      </w:r>
      <w:r w:rsidRPr="001C3BDD">
        <w:t>§</w:t>
      </w:r>
      <w:r>
        <w:t xml:space="preserve"> 22.72(f).  There is no appreciable overlap in the many exceptions presented by the other parties, and good cause exists for SWEPCO’s reply to exceed the generally applicable page limit, in order for the Company to present an adequate response to their numerous and varied arguments.   </w:t>
      </w:r>
    </w:p>
    <w:p w14:paraId="2D86F2A9" w14:textId="77777777" w:rsidR="00D22DDD" w:rsidRPr="00D22DDD" w:rsidRDefault="005A2A69" w:rsidP="003A17DF">
      <w:pPr>
        <w:pStyle w:val="Heading1"/>
        <w:numPr>
          <w:ilvl w:val="0"/>
          <w:numId w:val="39"/>
        </w:numPr>
        <w:ind w:left="0" w:firstLine="0"/>
      </w:pPr>
      <w:bookmarkStart w:id="4" w:name="_Toc497123813"/>
      <w:r>
        <w:t>RATE BASE</w:t>
      </w:r>
      <w:bookmarkEnd w:id="4"/>
    </w:p>
    <w:p w14:paraId="2D1819A2" w14:textId="77777777" w:rsidR="005A2A69" w:rsidRDefault="005A2A69" w:rsidP="005A2A69">
      <w:pPr>
        <w:pStyle w:val="Heading2"/>
        <w:numPr>
          <w:ilvl w:val="0"/>
          <w:numId w:val="6"/>
        </w:numPr>
        <w:ind w:hanging="720"/>
      </w:pPr>
      <w:bookmarkStart w:id="5" w:name="_Toc497123814"/>
      <w:bookmarkStart w:id="6" w:name="_Ref492360264"/>
      <w:bookmarkStart w:id="7" w:name="_Toc485976521"/>
      <w:r>
        <w:t>Prudence of Environmental Control Investment</w:t>
      </w:r>
      <w:bookmarkEnd w:id="5"/>
      <w:r>
        <w:t xml:space="preserve"> </w:t>
      </w:r>
      <w:bookmarkEnd w:id="6"/>
    </w:p>
    <w:p w14:paraId="109C2655" w14:textId="77777777" w:rsidR="005A2A69" w:rsidRDefault="005A2A69" w:rsidP="003A17DF">
      <w:pPr>
        <w:pStyle w:val="Heading3"/>
        <w:keepNext w:val="0"/>
        <w:numPr>
          <w:ilvl w:val="0"/>
          <w:numId w:val="21"/>
        </w:numPr>
      </w:pPr>
      <w:bookmarkStart w:id="8" w:name="_Ref492360267"/>
      <w:bookmarkStart w:id="9" w:name="_Toc497123815"/>
      <w:r>
        <w:t>Dolet Hills Power Station</w:t>
      </w:r>
      <w:bookmarkEnd w:id="8"/>
      <w:bookmarkEnd w:id="9"/>
    </w:p>
    <w:p w14:paraId="5177537C" w14:textId="77777777" w:rsidR="00DB5306" w:rsidRDefault="00DB5306" w:rsidP="00DB5306">
      <w:r w:rsidRPr="001C214A">
        <w:t>In early 2012, SWEPCO decided to invest in environmental controls at its lignite-fired Dolet Hills power plant.</w:t>
      </w:r>
      <w:r w:rsidRPr="001C214A">
        <w:rPr>
          <w:vertAlign w:val="superscript"/>
        </w:rPr>
        <w:footnoteReference w:id="1"/>
      </w:r>
      <w:r w:rsidRPr="001C214A">
        <w:t xml:space="preserve">  Dolet Hills is located in De Soto Parish, Louisiana, and is jointly owned by SWEPCO, Cleco Power LLC (Cleco), </w:t>
      </w:r>
      <w:proofErr w:type="gramStart"/>
      <w:r w:rsidRPr="001C214A">
        <w:t>North</w:t>
      </w:r>
      <w:proofErr w:type="gramEnd"/>
      <w:r w:rsidRPr="001C214A">
        <w:t xml:space="preserve"> Texas Electric Cooperative, and Oklahoma Municipal Power Authority.  Cleco is the majority owner and operator of the plant</w:t>
      </w:r>
      <w:r>
        <w:t>.  T</w:t>
      </w:r>
      <w:r w:rsidRPr="001C214A">
        <w:t xml:space="preserve">he consequences of not installing these retrofit projects would have meant that the </w:t>
      </w:r>
      <w:r>
        <w:t xml:space="preserve">plant </w:t>
      </w:r>
      <w:r w:rsidRPr="001C214A">
        <w:t xml:space="preserve">would </w:t>
      </w:r>
      <w:r w:rsidRPr="001C214A">
        <w:lastRenderedPageBreak/>
        <w:t>have had to cease operations, thus depriving customers of this valuable resource.</w:t>
      </w:r>
      <w:r w:rsidRPr="001C214A">
        <w:rPr>
          <w:vertAlign w:val="superscript"/>
        </w:rPr>
        <w:footnoteReference w:id="2"/>
      </w:r>
      <w:r>
        <w:t xml:space="preserve">  T</w:t>
      </w:r>
      <w:r w:rsidRPr="00033A0C">
        <w:t xml:space="preserve">he cost of the Dolet Hills retrofits, at $230/kW, </w:t>
      </w:r>
      <w:r w:rsidR="00463FE4">
        <w:t>was</w:t>
      </w:r>
      <w:r w:rsidRPr="00033A0C">
        <w:t xml:space="preserve"> immaterial compared to the cost of replacing the Dolet Hills capacity.  The annual revenue requirement associated with the retrofits was only $35/kW year, an amount so low that market alternatives available at the time were “not even close.”</w:t>
      </w:r>
      <w:r w:rsidRPr="00033A0C">
        <w:rPr>
          <w:vertAlign w:val="superscript"/>
        </w:rPr>
        <w:footnoteReference w:id="3"/>
      </w:r>
      <w:r>
        <w:t xml:space="preserve">  The Louisiana Public Service Commission determined </w:t>
      </w:r>
      <w:r w:rsidRPr="00D55F85">
        <w:t>Cleco</w:t>
      </w:r>
      <w:r>
        <w:t>, as operator of the plant,</w:t>
      </w:r>
      <w:r w:rsidRPr="00D55F85">
        <w:t xml:space="preserve"> prudently determined to make the retrofits.</w:t>
      </w:r>
      <w:r w:rsidRPr="00D55F85">
        <w:rPr>
          <w:vertAlign w:val="superscript"/>
        </w:rPr>
        <w:footnoteReference w:id="4"/>
      </w:r>
    </w:p>
    <w:p w14:paraId="69CA9642" w14:textId="77777777" w:rsidR="00DB5306" w:rsidRDefault="00DB5306" w:rsidP="00DB5306">
      <w:r>
        <w:t xml:space="preserve">Among the evidence supporting the decision to retrofit the Dolet Hills plant was an </w:t>
      </w:r>
      <w:r w:rsidRPr="00B32D00">
        <w:t xml:space="preserve">independent retrospective economic analysis performed by </w:t>
      </w:r>
      <w:r>
        <w:t xml:space="preserve">SWEPCO witness </w:t>
      </w:r>
      <w:r w:rsidRPr="00B32D00">
        <w:t xml:space="preserve">Mr. </w:t>
      </w:r>
      <w:r w:rsidR="00463FE4">
        <w:t xml:space="preserve">Kurt </w:t>
      </w:r>
      <w:r w:rsidRPr="00B32D00">
        <w:t xml:space="preserve">Strunk, a Director </w:t>
      </w:r>
      <w:r>
        <w:t xml:space="preserve">with </w:t>
      </w:r>
      <w:r w:rsidRPr="00B32D00">
        <w:t>National Economic Research Associates (NERA).  Mr. Strunk has over twenty years of experience consulting with governments, regulators, and utilities on energy</w:t>
      </w:r>
      <w:r w:rsidRPr="00B32D00">
        <w:noBreakHyphen/>
        <w:t>related matters, including matters relating to utility resource planning, resource choice analysis, asset and contract valuation, and competitive bidding.</w:t>
      </w:r>
      <w:r w:rsidRPr="00B32D00">
        <w:rPr>
          <w:vertAlign w:val="superscript"/>
        </w:rPr>
        <w:footnoteReference w:id="5"/>
      </w:r>
      <w:r w:rsidRPr="00B32D00">
        <w:t xml:space="preserve">  To perform his analysis, Mr. Strunk considered the relative economics of retrofitting Dolet Hills versus a retire-and-replace alternative, using information that was reasonably available to SWEPCO at the time the retrofit decision was made.</w:t>
      </w:r>
      <w:r w:rsidRPr="00B32D00">
        <w:rPr>
          <w:vertAlign w:val="superscript"/>
        </w:rPr>
        <w:footnoteReference w:id="6"/>
      </w:r>
      <w:r>
        <w:t xml:space="preserve">  </w:t>
      </w:r>
    </w:p>
    <w:p w14:paraId="1BF3567E" w14:textId="77777777" w:rsidR="005A2A69" w:rsidRDefault="005A2A69" w:rsidP="00DB5306">
      <w:r>
        <w:t xml:space="preserve">OPUC and Sierra Club make two basic complaints regarding the ALJs’ recommendations regarding Mr. Strunk’s retrospective analysis of the Dolet Hills retrofit decision.  First, they argue that the analysis was not proper rebuttal, and should not have been admitted in evidence.  Second, they claim the Strunk analysis should have been rejected on its merits by the ALJs, based on the criticisms provided by their witnesses.  To the contrary, the PFD correctly analyzed the procedural and substantive issues, and properly concluded </w:t>
      </w:r>
      <w:r w:rsidRPr="00C501A3">
        <w:t>“Mr. Strunk’s model demonstrates that what SWEPCO chose to do by investing $56 million in retrofits at Dolet Hills was one of a range of reasonable options in 2012.”</w:t>
      </w:r>
      <w:r>
        <w:rPr>
          <w:rStyle w:val="FootnoteReference"/>
        </w:rPr>
        <w:footnoteReference w:id="7"/>
      </w:r>
      <w:r>
        <w:t xml:space="preserve">  </w:t>
      </w:r>
    </w:p>
    <w:p w14:paraId="6149E48E" w14:textId="77777777" w:rsidR="0043330F" w:rsidRDefault="00463FE4" w:rsidP="005A2A69">
      <w:r>
        <w:lastRenderedPageBreak/>
        <w:t xml:space="preserve">The ALJs correctly found that </w:t>
      </w:r>
      <w:r w:rsidR="005A2A69">
        <w:t xml:space="preserve">Mr. Strunk’s testimony was proper rebuttal to multiple specific claims raised by OPUC and Sierra Club witnesses in their pre-filed testimony.  The ALJs </w:t>
      </w:r>
      <w:r>
        <w:t xml:space="preserve">also </w:t>
      </w:r>
      <w:r w:rsidR="005A2A69">
        <w:t>correctly determined that SWEPCO initially made out a prima facie prudence case supporting recovery of the Dolet Hills retrofit investment, and that Mr. Strunk’s analysis was not necessary to that case.</w:t>
      </w:r>
      <w:r w:rsidR="0016191B">
        <w:rPr>
          <w:rStyle w:val="FootnoteReference"/>
        </w:rPr>
        <w:footnoteReference w:id="8"/>
      </w:r>
      <w:r w:rsidR="005A2A69">
        <w:t xml:space="preserve">  Moreover, </w:t>
      </w:r>
      <w:r w:rsidR="0016191B">
        <w:t xml:space="preserve">at the request of </w:t>
      </w:r>
      <w:r w:rsidR="005A2A69">
        <w:t>OPUC and Sierra Club</w:t>
      </w:r>
      <w:r w:rsidR="0016191B">
        <w:t xml:space="preserve">, the ALJs gave </w:t>
      </w:r>
      <w:r>
        <w:t xml:space="preserve">their witnesses </w:t>
      </w:r>
      <w:r w:rsidR="0016191B">
        <w:t>a fair</w:t>
      </w:r>
      <w:r w:rsidR="005A2A69">
        <w:t xml:space="preserve"> opportunity to address and critique Mr. Strunk’s testimony, and these parties fully took advantage of that opportunity.  </w:t>
      </w:r>
    </w:p>
    <w:p w14:paraId="6AD2120C" w14:textId="77777777" w:rsidR="0043330F" w:rsidRDefault="0043330F" w:rsidP="005A2A69">
      <w:r>
        <w:t>The ALJs have significant experience in the conduct of hearings such as this one, and are well positioned to determine the manner and course of proceedings appropriate to ensure fairness and protection of the procedural rights of the parties.  The ALJs considered the written objection of the Strunk analysis and SWEPCO’s written response, and determined that “the way we’re going to resolve this is we’re going to permit active and live supplemental direct on the part of [intervenor witnesses] Ms. Wilson and Mr. Woodruff…,” and an opportunity for responsive live testimony from Mr. Strunk, since SWEPCO is the party with the burden of proof.</w:t>
      </w:r>
      <w:r>
        <w:rPr>
          <w:rStyle w:val="FootnoteReference"/>
        </w:rPr>
        <w:footnoteReference w:id="9"/>
      </w:r>
      <w:r>
        <w:t xml:space="preserve">  This resolution granted the relief specifically requested by Sierra Club and OPUC; that they “be granted the right to present live supplemental testimony at the hearing on the merits to respond to” Mr. Strunk’s analysis.</w:t>
      </w:r>
      <w:r>
        <w:rPr>
          <w:rStyle w:val="FootnoteReference"/>
        </w:rPr>
        <w:footnoteReference w:id="10"/>
      </w:r>
      <w:r>
        <w:t xml:space="preserve">  The ALJs, though they rejected the motion to strike, for reasons of fairness treated the Strunk analysis, from a procedural standpoint, as if it were supplemental direct testimony, and allowed intervenors the opportunity to present another round of testimony challenging that analysis.</w:t>
      </w:r>
    </w:p>
    <w:p w14:paraId="180B36DF" w14:textId="77777777" w:rsidR="005A2A69" w:rsidRDefault="005A2A69" w:rsidP="005A2A69">
      <w:r>
        <w:t>As to its merits, the ALJs correctly concluded that the criticisms of the intervenor</w:t>
      </w:r>
      <w:r w:rsidR="0016191B">
        <w:t xml:space="preserve"> witnesse</w:t>
      </w:r>
      <w:r>
        <w:t>s did not detract from the support for SWEPCO</w:t>
      </w:r>
      <w:r w:rsidR="0016191B">
        <w:t>’s</w:t>
      </w:r>
      <w:r>
        <w:t xml:space="preserve"> prudence provided by the Strunk analysis</w:t>
      </w:r>
      <w:r w:rsidR="0016191B">
        <w:t>.</w:t>
      </w:r>
      <w:r>
        <w:t xml:space="preserve">  </w:t>
      </w:r>
      <w:r w:rsidR="0016191B">
        <w:t>I</w:t>
      </w:r>
      <w:r>
        <w:t>n fact, these criticisms, viewed in the light</w:t>
      </w:r>
      <w:r w:rsidR="0016191B">
        <w:t xml:space="preserve"> most favorable to the intervenors’ case</w:t>
      </w:r>
      <w:r>
        <w:t>, highlight the robustness of the Strunk analysis as support for SWEPCO’s prudence.</w:t>
      </w:r>
    </w:p>
    <w:p w14:paraId="0144BAB1" w14:textId="77777777" w:rsidR="005A2A69" w:rsidRDefault="005A2A69" w:rsidP="005A2A69">
      <w:r>
        <w:t>The repeated statements of Sierra Club that the ALJs lacked “rigor” or were “cursory”</w:t>
      </w:r>
      <w:r w:rsidR="00A024D0">
        <w:rPr>
          <w:rStyle w:val="FootnoteReference"/>
        </w:rPr>
        <w:footnoteReference w:id="11"/>
      </w:r>
      <w:r>
        <w:t xml:space="preserve"> </w:t>
      </w:r>
      <w:r>
        <w:lastRenderedPageBreak/>
        <w:t>in their analysis are both uncalled for and demonstrably false, as demonstrated by review of the PFD</w:t>
      </w:r>
      <w:r w:rsidR="00133DBC">
        <w:t>’s thorough 32-page</w:t>
      </w:r>
      <w:r>
        <w:t xml:space="preserve"> treatment of the Dolet Hills issues.  The ALJs’ determinations should be upheld.     </w:t>
      </w:r>
      <w:r w:rsidRPr="00C501A3">
        <w:t xml:space="preserve">  </w:t>
      </w:r>
    </w:p>
    <w:p w14:paraId="44BADC30" w14:textId="77777777" w:rsidR="005A2A69" w:rsidRPr="003D2F1C" w:rsidRDefault="005A2A69" w:rsidP="005A2A69">
      <w:pPr>
        <w:rPr>
          <w:b/>
          <w:i/>
        </w:rPr>
      </w:pPr>
      <w:r w:rsidRPr="003D2F1C">
        <w:rPr>
          <w:b/>
          <w:i/>
        </w:rPr>
        <w:t>The Strunk Analysis was Proper Rebuttal</w:t>
      </w:r>
    </w:p>
    <w:p w14:paraId="4F9DE6A5" w14:textId="77777777" w:rsidR="005A2A69" w:rsidRDefault="005A2A69" w:rsidP="005A2A69">
      <w:r>
        <w:t>A continuing erroneous premise that runs throughout the complaints about the admission of the Strunk analysis is that it is somehow improper rebuttal.  The record clearly contradicts this premise, because Mr. Strunk’s economic analysis, and all of his testimony, is proper rebuttal to the claims of intervenor witnesses.</w:t>
      </w:r>
    </w:p>
    <w:p w14:paraId="77A618A3" w14:textId="77777777" w:rsidR="005A2A69" w:rsidRDefault="005A2A69" w:rsidP="005A2A69">
      <w:r>
        <w:t xml:space="preserve">The focus of the motion to exclude testimony was the portion of Mr. Strunk’s testimony in which he </w:t>
      </w:r>
      <w:r w:rsidR="00A024D0">
        <w:t xml:space="preserve">provided </w:t>
      </w:r>
      <w:r>
        <w:t xml:space="preserve">a retrospective economic analysis, based on information available in 2012, </w:t>
      </w:r>
      <w:r w:rsidR="00A024D0">
        <w:t xml:space="preserve">comparing </w:t>
      </w:r>
      <w:r>
        <w:t>the cost of retrofitting the Dolet Hills power plant to retirement and replacement of that capacity.</w:t>
      </w:r>
      <w:r>
        <w:rPr>
          <w:rStyle w:val="FootnoteReference"/>
        </w:rPr>
        <w:footnoteReference w:id="12"/>
      </w:r>
      <w:r>
        <w:t xml:space="preserve">  </w:t>
      </w:r>
      <w:r w:rsidRPr="001F5623">
        <w:t xml:space="preserve">As </w:t>
      </w:r>
      <w:r>
        <w:t>Sierra Club a</w:t>
      </w:r>
      <w:r w:rsidRPr="001F5623">
        <w:t>cknowledge</w:t>
      </w:r>
      <w:r>
        <w:t>s,</w:t>
      </w:r>
      <w:r>
        <w:rPr>
          <w:rStyle w:val="FootnoteReference"/>
        </w:rPr>
        <w:footnoteReference w:id="13"/>
      </w:r>
      <w:r>
        <w:t xml:space="preserve"> 16 TAC </w:t>
      </w:r>
      <w:r w:rsidR="00B67AB0">
        <w:t>§ </w:t>
      </w:r>
      <w:r w:rsidRPr="001F5623">
        <w:t>22.203(b</w:t>
      </w:r>
      <w:proofErr w:type="gramStart"/>
      <w:r w:rsidRPr="001F5623">
        <w:t>)(</w:t>
      </w:r>
      <w:proofErr w:type="gramEnd"/>
      <w:r w:rsidRPr="001F5623">
        <w:t xml:space="preserve">3) </w:t>
      </w:r>
      <w:r>
        <w:t xml:space="preserve">simply states “the party with the burden of proof may rebut evidence presented by opposing parties after all parties have presented their direct cases.”  Mr. Strunk’s rebuttal presentation, including the retrospective economic analysis, is direct rebuttal to various claims based on the retrospective analyses first offered by intervenor witnesses Rachel Wilson (for Sierra Club) and </w:t>
      </w:r>
      <w:r w:rsidR="00B67AB0">
        <w:t>Kevin</w:t>
      </w:r>
      <w:r>
        <w:t xml:space="preserve"> Woodruff (for OPUC).  As shown next, and in SWEPCO’s original response to the Motion,</w:t>
      </w:r>
      <w:r>
        <w:rPr>
          <w:rStyle w:val="FootnoteReference"/>
        </w:rPr>
        <w:footnoteReference w:id="14"/>
      </w:r>
      <w:r>
        <w:t xml:space="preserve"> Mr. Strunk’s testimony is a “direct answer” which</w:t>
      </w:r>
      <w:r w:rsidR="00A024D0">
        <w:t xml:space="preserve"> serves to</w:t>
      </w:r>
      <w:r>
        <w:t xml:space="preserve"> “repel, explain, disprove, or contradict” the claims of the intervenor witnesses.</w:t>
      </w:r>
      <w:r>
        <w:rPr>
          <w:rStyle w:val="FootnoteReference"/>
        </w:rPr>
        <w:footnoteReference w:id="15"/>
      </w:r>
      <w:r>
        <w:t xml:space="preserve">  </w:t>
      </w:r>
      <w:r w:rsidR="00A024D0">
        <w:t>Therefore, it meets the commonly understood definition of rebuttal.</w:t>
      </w:r>
    </w:p>
    <w:p w14:paraId="3A0C171B" w14:textId="77777777" w:rsidR="005A2A69" w:rsidRDefault="005A2A69" w:rsidP="005A2A69">
      <w:r>
        <w:t>Mr. Strunk’s retrospective analysis and related discussion directly rebuts a number of specific claims by Ms. Wilson and Mr. Woodruff:</w:t>
      </w:r>
    </w:p>
    <w:p w14:paraId="7CDF443E" w14:textId="77777777" w:rsidR="005A2A69" w:rsidRDefault="005A2A69" w:rsidP="00E9474C">
      <w:pPr>
        <w:pStyle w:val="ListParagraph"/>
        <w:numPr>
          <w:ilvl w:val="0"/>
          <w:numId w:val="38"/>
        </w:numPr>
        <w:spacing w:line="240" w:lineRule="auto"/>
        <w:ind w:left="1440" w:right="720" w:hanging="720"/>
        <w:rPr>
          <w:rStyle w:val="apple-converted-space"/>
        </w:rPr>
      </w:pPr>
      <w:r>
        <w:rPr>
          <w:rStyle w:val="apple-converted-space"/>
        </w:rPr>
        <w:t xml:space="preserve">Ms. Wilson claims that SWEPCO’s decision to carry out all the retrofits, including those at Dolet Hills, </w:t>
      </w:r>
      <w:r w:rsidR="00A024D0">
        <w:rPr>
          <w:rStyle w:val="apple-converted-space"/>
        </w:rPr>
        <w:t xml:space="preserve">was imprudent in light of </w:t>
      </w:r>
      <w:r>
        <w:rPr>
          <w:rStyle w:val="apple-converted-space"/>
        </w:rPr>
        <w:t xml:space="preserve">future </w:t>
      </w:r>
      <w:r>
        <w:rPr>
          <w:rStyle w:val="apple-converted-space"/>
        </w:rPr>
        <w:lastRenderedPageBreak/>
        <w:t>environmental compliance costs and falling gas prices.</w:t>
      </w:r>
      <w:r>
        <w:rPr>
          <w:rStyle w:val="FootnoteReference"/>
        </w:rPr>
        <w:footnoteReference w:id="16"/>
      </w:r>
      <w:r>
        <w:rPr>
          <w:rStyle w:val="apple-converted-space"/>
        </w:rPr>
        <w:t xml:space="preserve">  Mr. Strunk’s retrospective analysis shows, to the contrary, that employing reasonable assumptions about environmental compliance costs (particularly in light of the short-term option value of retrofitting and continuing to operate Dolet Hills) and gas prices, the retrofit decision was among a reasonable range of alternatives.</w:t>
      </w:r>
      <w:r>
        <w:rPr>
          <w:rStyle w:val="FootnoteReference"/>
        </w:rPr>
        <w:footnoteReference w:id="17"/>
      </w:r>
    </w:p>
    <w:p w14:paraId="1C49EBC5" w14:textId="77777777" w:rsidR="00A024D0" w:rsidRDefault="00A024D0" w:rsidP="00A024D0">
      <w:pPr>
        <w:pStyle w:val="ListParagraph"/>
        <w:spacing w:line="240" w:lineRule="auto"/>
        <w:ind w:left="1022" w:firstLine="0"/>
        <w:rPr>
          <w:rStyle w:val="apple-converted-space"/>
        </w:rPr>
      </w:pPr>
    </w:p>
    <w:p w14:paraId="5AE6B7F6" w14:textId="77777777" w:rsidR="005A2A69" w:rsidRDefault="005A2A69" w:rsidP="00E9474C">
      <w:pPr>
        <w:pStyle w:val="ListParagraph"/>
        <w:numPr>
          <w:ilvl w:val="0"/>
          <w:numId w:val="38"/>
        </w:numPr>
        <w:spacing w:line="240" w:lineRule="auto"/>
        <w:ind w:left="1440" w:right="720" w:hanging="720"/>
      </w:pPr>
      <w:r w:rsidRPr="00794922">
        <w:t>Bo</w:t>
      </w:r>
      <w:r>
        <w:t xml:space="preserve">th Ms. Wilson and Mr. Woodruff </w:t>
      </w:r>
      <w:r w:rsidRPr="00794922">
        <w:t xml:space="preserve">contest the appropriateness of SWEPCO’s reliance on the </w:t>
      </w:r>
      <w:r w:rsidR="00133DBC">
        <w:t xml:space="preserve">Cleco </w:t>
      </w:r>
      <w:r w:rsidRPr="00794922">
        <w:t>LPSC proceeding and its outcome.  Ms.</w:t>
      </w:r>
      <w:r w:rsidR="00380367">
        <w:t> </w:t>
      </w:r>
      <w:r w:rsidRPr="00794922">
        <w:t xml:space="preserve">Wilson alleges the Cleco analysis reviewed by the LPSC suffered from an improper capacity modeling approach, a failure to adequately predict future environmental regulations and their costs; and an inadequate response to the potential for future carbon regulations.  </w:t>
      </w:r>
      <w:r>
        <w:t xml:space="preserve">Mr. Woodruff claims </w:t>
      </w:r>
      <w:r w:rsidRPr="00794922">
        <w:t xml:space="preserve">that </w:t>
      </w:r>
      <w:r>
        <w:t xml:space="preserve">the LPSC proceeding and decision SWEPCO relied on in direct are not sufficient </w:t>
      </w:r>
      <w:r w:rsidRPr="00794922">
        <w:t>to provide PUC wi</w:t>
      </w:r>
      <w:r>
        <w:t>th assurance that the retrofit decision was prudent.</w:t>
      </w:r>
      <w:r>
        <w:rPr>
          <w:rStyle w:val="FootnoteReference"/>
        </w:rPr>
        <w:footnoteReference w:id="18"/>
      </w:r>
      <w:r>
        <w:t xml:space="preserve">  Mr. Strunk’s retrospective analysis rebuts these claims, by showing that an independent analysis corroborates the LPSC decision relied on by SWEPCO.</w:t>
      </w:r>
      <w:r w:rsidRPr="00794922">
        <w:t xml:space="preserve">  </w:t>
      </w:r>
    </w:p>
    <w:p w14:paraId="602C3893" w14:textId="77777777" w:rsidR="00A024D0" w:rsidRPr="00794922" w:rsidRDefault="00A024D0" w:rsidP="00A7215A">
      <w:pPr>
        <w:spacing w:line="240" w:lineRule="auto"/>
        <w:ind w:right="720" w:firstLine="0"/>
      </w:pPr>
    </w:p>
    <w:p w14:paraId="1B8341F0" w14:textId="77777777" w:rsidR="005A2A69" w:rsidRDefault="005A2A69" w:rsidP="00E9474C">
      <w:pPr>
        <w:pStyle w:val="ListParagraph"/>
        <w:numPr>
          <w:ilvl w:val="0"/>
          <w:numId w:val="38"/>
        </w:numPr>
        <w:spacing w:line="240" w:lineRule="auto"/>
        <w:ind w:left="1440" w:right="720" w:hanging="720"/>
      </w:pPr>
      <w:r>
        <w:t xml:space="preserve">Mr. Woodruff argues that SWEPCO’s study of retrofitting versus retiring Dolet Hills in connection with its acquisition of the </w:t>
      </w:r>
      <w:r w:rsidRPr="00B66C85">
        <w:t xml:space="preserve">Oxbow </w:t>
      </w:r>
      <w:r>
        <w:t xml:space="preserve">mine came too </w:t>
      </w:r>
      <w:r w:rsidRPr="00B66C85">
        <w:t xml:space="preserve">early in time </w:t>
      </w:r>
      <w:r>
        <w:t>and is not relevant to the retrofit decision.</w:t>
      </w:r>
      <w:r>
        <w:rPr>
          <w:rStyle w:val="FootnoteReference"/>
        </w:rPr>
        <w:footnoteReference w:id="19"/>
      </w:r>
      <w:r>
        <w:t xml:space="preserve">  Contrary to these claims, Mr. Strunk’s retrospective economic analysis, including consideration of the impact of the Oxbow mine acquisition, supports the earlier study as regards </w:t>
      </w:r>
      <w:r w:rsidR="004A7EA8">
        <w:t xml:space="preserve">to </w:t>
      </w:r>
      <w:r>
        <w:t>the reasonableness of the decision to retrofit.</w:t>
      </w:r>
      <w:r>
        <w:rPr>
          <w:rStyle w:val="FootnoteReference"/>
        </w:rPr>
        <w:footnoteReference w:id="20"/>
      </w:r>
    </w:p>
    <w:p w14:paraId="15854232" w14:textId="77777777" w:rsidR="00A024D0" w:rsidRDefault="00A024D0" w:rsidP="00A024D0">
      <w:pPr>
        <w:spacing w:line="240" w:lineRule="auto"/>
        <w:ind w:firstLine="0"/>
      </w:pPr>
    </w:p>
    <w:p w14:paraId="34493FDF" w14:textId="77777777" w:rsidR="005A2A69" w:rsidRDefault="00463FE4" w:rsidP="005A2A69">
      <w:r>
        <w:t>Finally</w:t>
      </w:r>
      <w:r w:rsidR="005A2A69">
        <w:t>, as noted in the PFD,</w:t>
      </w:r>
      <w:r w:rsidR="005A2A69">
        <w:rPr>
          <w:rStyle w:val="FootnoteReference"/>
        </w:rPr>
        <w:footnoteReference w:id="21"/>
      </w:r>
      <w:r w:rsidR="005A2A69">
        <w:t xml:space="preserve"> Ms. Wilson and Mr. Woodruff both claim, contrary to SWEPCO’s direct case, a contemporaneous economic analysis, performed by SWEPCO at the time of the Dolet Hills retrofit decision, was indispensable to a prudent determination as to the merit of the retrofit.</w:t>
      </w:r>
      <w:r w:rsidR="005A2A69">
        <w:rPr>
          <w:rStyle w:val="FootnoteReference"/>
        </w:rPr>
        <w:footnoteReference w:id="22"/>
      </w:r>
      <w:r w:rsidR="005A2A69">
        <w:t xml:space="preserve">  SWEPCO rebuttal witnesses Brice, Franklin, and Strunk all contest this erroneous view.  In addition, Mr. Strunk’s testimony rebuts their claims by showing that, had </w:t>
      </w:r>
      <w:r w:rsidR="005A2A69">
        <w:lastRenderedPageBreak/>
        <w:t>such an analysis been performed, it would have supported the prudence of the retrofit.</w:t>
      </w:r>
    </w:p>
    <w:p w14:paraId="79242154" w14:textId="77777777" w:rsidR="00A024D0" w:rsidRDefault="005A2A69" w:rsidP="00A024D0">
      <w:pPr>
        <w:tabs>
          <w:tab w:val="left" w:pos="900"/>
        </w:tabs>
      </w:pPr>
      <w:r>
        <w:t xml:space="preserve">Nothing in the Texas caselaw and PUC precedent cited in the exceptions is inconsistent with recognition of Mr. Strunk’s testimony as proper rebuttal.  The </w:t>
      </w:r>
      <w:r>
        <w:rPr>
          <w:i/>
        </w:rPr>
        <w:t xml:space="preserve">Ayers </w:t>
      </w:r>
      <w:r>
        <w:t>case</w:t>
      </w:r>
      <w:r>
        <w:rPr>
          <w:rStyle w:val="FootnoteReference"/>
        </w:rPr>
        <w:footnoteReference w:id="23"/>
      </w:r>
      <w:r>
        <w:t xml:space="preserve"> stands only for the unexceptional proposition that the trial court may exclude rebuttal that does not address areas disputed by the defendant.  As shown above, that is not the case here.  In fact, the discussion in </w:t>
      </w:r>
      <w:r>
        <w:rPr>
          <w:i/>
        </w:rPr>
        <w:t>Ayers</w:t>
      </w:r>
      <w:r>
        <w:t xml:space="preserve"> supports the legitimacy of rebuttal, such as that provided by SWEPCO in the circumstances of this case, which counteracts positions taken by the opposing party.</w:t>
      </w:r>
      <w:r>
        <w:rPr>
          <w:rStyle w:val="FootnoteReference"/>
        </w:rPr>
        <w:footnoteReference w:id="24"/>
      </w:r>
      <w:r>
        <w:t xml:space="preserve">  Order No. 14 from </w:t>
      </w:r>
      <w:r w:rsidR="00B67AB0">
        <w:t>Commission</w:t>
      </w:r>
      <w:r>
        <w:t xml:space="preserve"> Docket No. 45188</w:t>
      </w:r>
      <w:r w:rsidR="00A024D0">
        <w:rPr>
          <w:rStyle w:val="FootnoteReference"/>
        </w:rPr>
        <w:footnoteReference w:id="25"/>
      </w:r>
      <w:r>
        <w:t xml:space="preserve"> is similarly not on point.  </w:t>
      </w:r>
      <w:r w:rsidR="00A024D0">
        <w:t xml:space="preserve">In that case, the ALJ found that the same modeling included in purchaser rebuttal had been specifically requested and provided in discovery, such that </w:t>
      </w:r>
      <w:r w:rsidR="00133DBC">
        <w:t>p</w:t>
      </w:r>
      <w:r w:rsidR="00A024D0">
        <w:t>urchasers were placed on notice and could have supplemented their testimony.</w:t>
      </w:r>
      <w:r w:rsidR="00A024D0">
        <w:rPr>
          <w:rStyle w:val="FootnoteReference"/>
        </w:rPr>
        <w:footnoteReference w:id="26"/>
      </w:r>
      <w:r w:rsidR="00A024D0">
        <w:t xml:space="preserve">   Here, nothing like the Strunk analysis was requested in discovery and the ALJs did not accept intervenor allegations to the contrary.</w:t>
      </w:r>
      <w:r w:rsidR="00A024D0">
        <w:rPr>
          <w:rStyle w:val="FootnoteReference"/>
        </w:rPr>
        <w:footnoteReference w:id="27"/>
      </w:r>
      <w:r w:rsidR="00A024D0">
        <w:t xml:space="preserve">  In fact, the analysis was not available until two days before the deadline for rebuttal,</w:t>
      </w:r>
      <w:r w:rsidR="00A024D0">
        <w:rPr>
          <w:rStyle w:val="FootnoteReference"/>
        </w:rPr>
        <w:footnoteReference w:id="28"/>
      </w:r>
      <w:r w:rsidR="00A024D0">
        <w:t xml:space="preserve"> and SWEPCO could not be certain of the </w:t>
      </w:r>
      <w:r w:rsidR="00463FE4">
        <w:t>relevance of</w:t>
      </w:r>
      <w:r w:rsidR="00A024D0">
        <w:t xml:space="preserve"> such analysis until it saw the specific claims lodged in intervenor testimony.</w:t>
      </w:r>
      <w:r w:rsidR="00A024D0">
        <w:rPr>
          <w:rStyle w:val="FootnoteReference"/>
        </w:rPr>
        <w:footnoteReference w:id="29"/>
      </w:r>
      <w:r w:rsidR="00A024D0">
        <w:t xml:space="preserve"> </w:t>
      </w:r>
      <w:r>
        <w:t xml:space="preserve"> </w:t>
      </w:r>
    </w:p>
    <w:p w14:paraId="7A1F931E" w14:textId="77777777" w:rsidR="005A2A69" w:rsidRDefault="00A024D0" w:rsidP="00A024D0">
      <w:pPr>
        <w:tabs>
          <w:tab w:val="left" w:pos="900"/>
        </w:tabs>
      </w:pPr>
      <w:r>
        <w:t xml:space="preserve">Likewise, the out of state precedent cited by Sierra Club is off target.  These cases do not </w:t>
      </w:r>
      <w:r>
        <w:lastRenderedPageBreak/>
        <w:t>address the proper scope of rebuttal testimony at all,</w:t>
      </w:r>
      <w:r>
        <w:rPr>
          <w:rStyle w:val="FootnoteReference"/>
        </w:rPr>
        <w:footnoteReference w:id="30"/>
      </w:r>
      <w:r>
        <w:t xml:space="preserve"> or involve facts wherein it was conceded that “the additional report they intend their expert to provide is not for rebuttal purposes, but instead will be supplemental in nature.”</w:t>
      </w:r>
      <w:r>
        <w:rPr>
          <w:rStyle w:val="FootnoteReference"/>
        </w:rPr>
        <w:footnoteReference w:id="31"/>
      </w:r>
    </w:p>
    <w:p w14:paraId="285BCCA0" w14:textId="77777777" w:rsidR="005A2A69" w:rsidRDefault="005A2A69" w:rsidP="005A2A69">
      <w:pPr>
        <w:tabs>
          <w:tab w:val="left" w:pos="900"/>
        </w:tabs>
      </w:pPr>
      <w:r>
        <w:t xml:space="preserve">Despite the fact that Mr. Strunk’s analysis clearly rebuts claims made by intervenor witnesses, the </w:t>
      </w:r>
      <w:r w:rsidR="00D479C6">
        <w:t xml:space="preserve">OPUC and Sierra Club </w:t>
      </w:r>
      <w:r>
        <w:t xml:space="preserve">exceptions urge that SWEPCO somehow should have known to include this rebuttal at the outset of its case, or that SWEPCO had a legal obligation to include the retrospective analysis as part of its initial prima facie case.  Sierra Club and OPUC attempt to </w:t>
      </w:r>
      <w:r w:rsidR="00D479C6">
        <w:t xml:space="preserve">portray </w:t>
      </w:r>
      <w:r>
        <w:t xml:space="preserve">SWEPCO’s showing of prudence through contemporaneous analysis and through retrospective analysis as if they </w:t>
      </w:r>
      <w:r w:rsidR="00D479C6">
        <w:t xml:space="preserve">are </w:t>
      </w:r>
      <w:r>
        <w:t>separate common law causes of action in a court of law, which allegedly must be pleaded and proved at the outset of the Commission proceeding.  However, they cite no authority pr</w:t>
      </w:r>
      <w:r w:rsidR="00D479C6">
        <w:t>o</w:t>
      </w:r>
      <w:r>
        <w:t>scribing in this manner the elements of SWEPCO’s initial case.  To the contrary, as the ALJs determined,</w:t>
      </w:r>
      <w:r>
        <w:rPr>
          <w:rStyle w:val="FootnoteReference"/>
        </w:rPr>
        <w:footnoteReference w:id="32"/>
      </w:r>
      <w:r>
        <w:t xml:space="preserve"> SWEPCO’s direct case followed the well</w:t>
      </w:r>
      <w:r w:rsidR="00B67AB0">
        <w:t>-</w:t>
      </w:r>
      <w:r>
        <w:t xml:space="preserve">trod Commission path for establishing a prima facie prudence case, and the Company </w:t>
      </w:r>
      <w:r w:rsidR="00D479C6">
        <w:t xml:space="preserve">then </w:t>
      </w:r>
      <w:r>
        <w:t>provided further evidence of prudence in response to the criticisms of opposing parties.</w:t>
      </w:r>
    </w:p>
    <w:p w14:paraId="64C5F129" w14:textId="77777777" w:rsidR="005A2A69" w:rsidRDefault="005A2A69" w:rsidP="005A2A69">
      <w:pPr>
        <w:tabs>
          <w:tab w:val="left" w:pos="360"/>
        </w:tabs>
      </w:pPr>
      <w:r>
        <w:t xml:space="preserve">SWEPCO’s burden of proof is the product of statutory requirements, set out in PURA, and Commission policy, not the common law requirements of civil court practice and procedure.  PURA </w:t>
      </w:r>
      <w:r w:rsidRPr="001C3BDD">
        <w:t>§</w:t>
      </w:r>
      <w:r>
        <w:t xml:space="preserve"> 36.053 requires that the utility base its rate requests on the “original cost” of its </w:t>
      </w:r>
      <w:r w:rsidR="00D479C6">
        <w:t xml:space="preserve">capital </w:t>
      </w:r>
      <w:r>
        <w:t>investment</w:t>
      </w:r>
      <w:r w:rsidR="00D479C6">
        <w:t>s</w:t>
      </w:r>
      <w:r>
        <w:t>, which the Commission has interpreted to mean prudent original cost.</w:t>
      </w:r>
      <w:r>
        <w:rPr>
          <w:rStyle w:val="FootnoteReference"/>
        </w:rPr>
        <w:footnoteReference w:id="33"/>
      </w:r>
      <w:r>
        <w:t xml:space="preserve">  There is no mandatory stated evidentiary formula under </w:t>
      </w:r>
      <w:r w:rsidR="00B67AB0">
        <w:t>Commission</w:t>
      </w:r>
      <w:r>
        <w:t xml:space="preserve"> precedent for how the utility meets that burden.  Instead, as illustrated by numerous cases, the Commission has ruled that the utility may</w:t>
      </w:r>
      <w:r w:rsidR="008705B7">
        <w:t>,</w:t>
      </w:r>
      <w:r>
        <w:t xml:space="preserve"> through evidence of its choosing present a prima facie case of the prudence of an investment, </w:t>
      </w:r>
      <w:r>
        <w:lastRenderedPageBreak/>
        <w:t>which will give rise to a presumption of prudence.</w:t>
      </w:r>
      <w:r>
        <w:rPr>
          <w:rStyle w:val="FootnoteReference"/>
        </w:rPr>
        <w:footnoteReference w:id="34"/>
      </w:r>
      <w:r>
        <w:t xml:space="preserve">  The PFD finds</w:t>
      </w:r>
      <w:r>
        <w:rPr>
          <w:rStyle w:val="FootnoteReference"/>
        </w:rPr>
        <w:footnoteReference w:id="35"/>
      </w:r>
      <w:r>
        <w:t xml:space="preserve"> that SWEPCO made out a prima facie case of the prudence of the retrofits at the Dolet Hills plant by describing its role in the decision as the non</w:t>
      </w:r>
      <w:r>
        <w:noBreakHyphen/>
        <w:t>operating, minority owner, responding to the proposals of owner</w:t>
      </w:r>
      <w:r w:rsidR="00B67AB0">
        <w:t>-</w:t>
      </w:r>
      <w:r>
        <w:t>operator Cleco, who has the contractual right and responsibility to operate and maintain the plant, and to make initial decisions regarding capital expenditures.  Based on this review, SWEPCO concluded that the retrofit proposed by Cleco was appropriate and reasonable.</w:t>
      </w:r>
      <w:r>
        <w:rPr>
          <w:rStyle w:val="FootnoteReference"/>
        </w:rPr>
        <w:footnoteReference w:id="36"/>
      </w:r>
      <w:r>
        <w:t xml:space="preserve">  </w:t>
      </w:r>
    </w:p>
    <w:p w14:paraId="18C1A656" w14:textId="77777777" w:rsidR="005A2A69" w:rsidRDefault="005A2A69" w:rsidP="005A2A69">
      <w:pPr>
        <w:tabs>
          <w:tab w:val="left" w:pos="360"/>
        </w:tabs>
      </w:pPr>
      <w:r>
        <w:t>SWEPCO also showed that Cleco promptly took steps to vet its economic and other analyses of the retrofit decision with the LPSC in a contested case proceeding, with that agency ultimately determining that the decision to retrofit Dolet Hills was prudent.</w:t>
      </w:r>
      <w:r w:rsidR="00D479C6">
        <w:rPr>
          <w:rStyle w:val="FootnoteReference"/>
        </w:rPr>
        <w:footnoteReference w:id="37"/>
      </w:r>
      <w:r>
        <w:t xml:space="preserve">  The extensive public record in the LPSC case and the LPSC order show the LPSC addressed the range of alternatives available to Cleco and their economics.  Intervenors provide no basis for a conclusion that additional information was necessary to make out a prima facie case.  </w:t>
      </w:r>
      <w:r w:rsidR="00D479C6">
        <w:t>SWEPCO’s prima facie case provided the types of proof that have been found sufficient in other Commission proceedings.</w:t>
      </w:r>
      <w:r w:rsidR="00D479C6">
        <w:rPr>
          <w:rStyle w:val="FootnoteReference"/>
        </w:rPr>
        <w:footnoteReference w:id="38"/>
      </w:r>
      <w:r w:rsidR="00D479C6">
        <w:t xml:space="preserve">  </w:t>
      </w:r>
      <w:r>
        <w:t xml:space="preserve">When intervenors challenged the prima facie case, SWEPCO went further in rebuttal, again consistent with well-established precedent, providing Mr. Strunk’s analysis as a direct response to intervenor criticisms.  There is nothing unusual, unfair or inappropriate in this process.  </w:t>
      </w:r>
    </w:p>
    <w:p w14:paraId="5816EF0F" w14:textId="77777777" w:rsidR="00D479C6" w:rsidRDefault="005A2A69" w:rsidP="005A2A69">
      <w:pPr>
        <w:tabs>
          <w:tab w:val="left" w:pos="900"/>
        </w:tabs>
      </w:pPr>
      <w:r>
        <w:t xml:space="preserve">Finally, the exceptions point to the fact that SWEPCO engaged Mr. Strunk before the </w:t>
      </w:r>
      <w:r>
        <w:lastRenderedPageBreak/>
        <w:t>deadline for intervenor testimony, as if that somehow proves his testimony cannot be rebuttal.</w:t>
      </w:r>
      <w:r>
        <w:rPr>
          <w:rStyle w:val="FootnoteReference"/>
        </w:rPr>
        <w:footnoteReference w:id="39"/>
      </w:r>
      <w:r>
        <w:t xml:space="preserve">  However, Mr. Strunk </w:t>
      </w:r>
      <w:r w:rsidR="00D479C6">
        <w:t>explained that he was engaged at that point so that as soon as the testimony was filed by intervenors he could consider that testimony and determin</w:t>
      </w:r>
      <w:r w:rsidR="006949C8">
        <w:t>e</w:t>
      </w:r>
      <w:r w:rsidR="00D479C6">
        <w:t>s what type of response would be appropriate.</w:t>
      </w:r>
      <w:r w:rsidR="00D479C6">
        <w:rPr>
          <w:rStyle w:val="FootnoteReference"/>
        </w:rPr>
        <w:footnoteReference w:id="40"/>
      </w:r>
      <w:r w:rsidR="00D479C6">
        <w:t xml:space="preserve">  </w:t>
      </w:r>
      <w:r>
        <w:t xml:space="preserve">SWEPCO could not know what specific claims intervenors would make about the Dolet Hills retrofits decision until they filed testimony.  </w:t>
      </w:r>
      <w:r w:rsidR="00FD0740">
        <w:t>Before</w:t>
      </w:r>
      <w:r w:rsidR="00D479C6">
        <w:t xml:space="preserve"> that point</w:t>
      </w:r>
      <w:r>
        <w:t xml:space="preserve">, SWEPCO could not </w:t>
      </w:r>
      <w:r w:rsidR="0057562F">
        <w:t>know</w:t>
      </w:r>
      <w:r>
        <w:t xml:space="preserve"> whether </w:t>
      </w:r>
      <w:r w:rsidR="00D479C6">
        <w:t xml:space="preserve">it </w:t>
      </w:r>
      <w:r>
        <w:t xml:space="preserve">would use Mr. Strunk at all.  </w:t>
      </w:r>
    </w:p>
    <w:p w14:paraId="02DDE6AC" w14:textId="77777777" w:rsidR="005A2A69" w:rsidRDefault="005A2A69" w:rsidP="005A2A69">
      <w:pPr>
        <w:tabs>
          <w:tab w:val="left" w:pos="900"/>
        </w:tabs>
      </w:pPr>
      <w:r>
        <w:t xml:space="preserve">Simply engaging an expert in anticipation of rebuttal, or otherwise making general preparations for rebuttal </w:t>
      </w:r>
      <w:r w:rsidR="00FD0740">
        <w:t>before</w:t>
      </w:r>
      <w:r>
        <w:t xml:space="preserve"> receipt of intervenor testimony, does not by any means signal that the testimony subsequently submitted is not rebuttal.  Intervenors had asked for no analysis of the kind made by Mr. Strunk in their RFIs,</w:t>
      </w:r>
      <w:r>
        <w:rPr>
          <w:rStyle w:val="FootnoteReference"/>
        </w:rPr>
        <w:footnoteReference w:id="41"/>
      </w:r>
      <w:r>
        <w:t xml:space="preserve"> and SWEPCO did not have such analysis in hand until two days before the rebuttal case was filed.</w:t>
      </w:r>
      <w:r>
        <w:rPr>
          <w:rStyle w:val="FootnoteReference"/>
        </w:rPr>
        <w:footnoteReference w:id="42"/>
      </w:r>
      <w:r>
        <w:t xml:space="preserve">  Sierra Club’s allegations that SWEPCO was </w:t>
      </w:r>
      <w:r w:rsidR="0057562F">
        <w:t>“</w:t>
      </w:r>
      <w:r>
        <w:t>sand bagging,</w:t>
      </w:r>
      <w:r w:rsidR="0057562F">
        <w:t>”</w:t>
      </w:r>
      <w:r>
        <w:t xml:space="preserve"> or that the admission of SWEPCO’s rebuttal will incentivize utilities to hold back on their prudence cases in the future, are contrary to the facts.   </w:t>
      </w:r>
    </w:p>
    <w:p w14:paraId="15E70E42" w14:textId="77777777" w:rsidR="00D479C6" w:rsidRPr="00E9474C" w:rsidRDefault="00D479C6" w:rsidP="00E9474C">
      <w:pPr>
        <w:tabs>
          <w:tab w:val="left" w:pos="900"/>
        </w:tabs>
        <w:spacing w:line="240" w:lineRule="auto"/>
        <w:ind w:left="720" w:firstLine="0"/>
        <w:rPr>
          <w:b/>
          <w:i/>
        </w:rPr>
      </w:pPr>
      <w:r w:rsidRPr="00E9474C">
        <w:rPr>
          <w:b/>
          <w:i/>
        </w:rPr>
        <w:t>The ALJs Resolved the Objections Fairly, Consistently with OPUC</w:t>
      </w:r>
      <w:r w:rsidR="00FD0740">
        <w:rPr>
          <w:b/>
          <w:i/>
        </w:rPr>
        <w:t xml:space="preserve">’s and </w:t>
      </w:r>
      <w:r w:rsidRPr="00E9474C">
        <w:rPr>
          <w:b/>
          <w:i/>
        </w:rPr>
        <w:t>Sierra Club</w:t>
      </w:r>
      <w:r w:rsidR="00FD0740">
        <w:rPr>
          <w:b/>
          <w:i/>
        </w:rPr>
        <w:t>’s</w:t>
      </w:r>
      <w:r w:rsidRPr="00E9474C">
        <w:rPr>
          <w:b/>
          <w:i/>
        </w:rPr>
        <w:t xml:space="preserve"> Proposed Relief, and in a Manner Designed to Avoid Any Potential Prejudice.</w:t>
      </w:r>
    </w:p>
    <w:p w14:paraId="5C1AAF2D" w14:textId="77777777" w:rsidR="00D479C6" w:rsidRPr="00E9474C" w:rsidRDefault="00D479C6" w:rsidP="00E9474C">
      <w:pPr>
        <w:tabs>
          <w:tab w:val="left" w:pos="900"/>
        </w:tabs>
        <w:spacing w:line="240" w:lineRule="auto"/>
        <w:rPr>
          <w:i/>
        </w:rPr>
      </w:pPr>
    </w:p>
    <w:p w14:paraId="06BF40D8" w14:textId="77777777" w:rsidR="00D479C6" w:rsidRDefault="005A2A69" w:rsidP="00D479C6">
      <w:pPr>
        <w:tabs>
          <w:tab w:val="left" w:pos="900"/>
        </w:tabs>
      </w:pPr>
      <w:r>
        <w:t>Just as Sierra Club and OPUC have failed to show that Mr. Strunk’s testimony was improper as rebuttal, they have also failed to show any prejudice from the manner in which the ALJs handled the matter procedurally.  In fact, the relief granted by the ALJs in responding to the objection, consisting of authorization for intervenors to present live supplemental testimony, granted precisely the alternative relief jointly requested by OPUC and Sierra Club.</w:t>
      </w:r>
      <w:r>
        <w:rPr>
          <w:rStyle w:val="FootnoteReference"/>
        </w:rPr>
        <w:footnoteReference w:id="43"/>
      </w:r>
      <w:r>
        <w:t xml:space="preserve">  Neither Sierra Club nor OPUC requested additional time to file written supplemental testimony, an extension of all or any part of the hearing process, or any type of continuance.  </w:t>
      </w:r>
      <w:r w:rsidR="00D479C6">
        <w:t xml:space="preserve">Neither Sierra Club </w:t>
      </w:r>
      <w:r w:rsidR="00FD0740">
        <w:t>n</w:t>
      </w:r>
      <w:r w:rsidR="00D479C6">
        <w:t xml:space="preserve">or OPUC describes any item of criticism they wished to make, but were unable to </w:t>
      </w:r>
      <w:proofErr w:type="gramStart"/>
      <w:r w:rsidR="00D479C6">
        <w:t>raise</w:t>
      </w:r>
      <w:proofErr w:type="gramEnd"/>
      <w:r w:rsidR="00D479C6">
        <w:t xml:space="preserve">, as a result of the procedure they proposed and which the ALJs accepted.  </w:t>
      </w:r>
      <w:r w:rsidR="0057562F">
        <w:t>Sierra Club witness</w:t>
      </w:r>
      <w:r w:rsidR="00D479C6">
        <w:t xml:space="preserve"> </w:t>
      </w:r>
      <w:r w:rsidR="00D479C6">
        <w:lastRenderedPageBreak/>
        <w:t xml:space="preserve">Wilson provided 70 pages of transcript testimony and </w:t>
      </w:r>
      <w:r w:rsidR="00D36ED8">
        <w:t>Sierra Club introduced or referenced 5</w:t>
      </w:r>
      <w:r w:rsidR="00D479C6">
        <w:t xml:space="preserve"> exhibits addressed to the Strunk analysis,</w:t>
      </w:r>
      <w:r w:rsidR="00D479C6">
        <w:rPr>
          <w:rStyle w:val="FootnoteReference"/>
        </w:rPr>
        <w:footnoteReference w:id="44"/>
      </w:r>
      <w:r w:rsidR="00D479C6">
        <w:t xml:space="preserve"> while Mr. Woodruff provided 20 transcript pages and </w:t>
      </w:r>
      <w:r w:rsidR="00D36ED8">
        <w:t>OPUC offered or referenced 8</w:t>
      </w:r>
      <w:r w:rsidR="00D479C6">
        <w:t xml:space="preserve"> exhibits.</w:t>
      </w:r>
      <w:r w:rsidR="00D479C6">
        <w:rPr>
          <w:rStyle w:val="FootnoteReference"/>
        </w:rPr>
        <w:footnoteReference w:id="45"/>
      </w:r>
      <w:r w:rsidR="00D36ED8">
        <w:t xml:space="preserve">  Sierra Club and OPUC also cro</w:t>
      </w:r>
      <w:r w:rsidR="0057562F">
        <w:t>s</w:t>
      </w:r>
      <w:r w:rsidR="00D36ED8">
        <w:t>s-examined Mr.</w:t>
      </w:r>
      <w:r w:rsidR="0057562F">
        <w:t> </w:t>
      </w:r>
      <w:r w:rsidR="00D36ED8">
        <w:t>Strunk at length.</w:t>
      </w:r>
      <w:r w:rsidR="00D36ED8">
        <w:rPr>
          <w:rStyle w:val="FootnoteReference"/>
        </w:rPr>
        <w:footnoteReference w:id="46"/>
      </w:r>
    </w:p>
    <w:p w14:paraId="72275CBB" w14:textId="77777777" w:rsidR="00D479C6" w:rsidRDefault="00D479C6" w:rsidP="00D479C6">
      <w:pPr>
        <w:tabs>
          <w:tab w:val="left" w:pos="900"/>
        </w:tabs>
      </w:pPr>
      <w:r>
        <w:t xml:space="preserve">In these respects, the case at hand is much like </w:t>
      </w:r>
      <w:r>
        <w:rPr>
          <w:i/>
        </w:rPr>
        <w:t>City of Corpus Christ</w:t>
      </w:r>
      <w:r w:rsidR="006949C8">
        <w:rPr>
          <w:i/>
        </w:rPr>
        <w:t>i</w:t>
      </w:r>
      <w:r>
        <w:rPr>
          <w:i/>
        </w:rPr>
        <w:t xml:space="preserve"> v. Public Utility Comm’n of </w:t>
      </w:r>
      <w:r w:rsidRPr="00943EE1">
        <w:rPr>
          <w:i/>
        </w:rPr>
        <w:t>Texas</w:t>
      </w:r>
      <w:r>
        <w:t>.</w:t>
      </w:r>
      <w:r w:rsidRPr="002875FA">
        <w:rPr>
          <w:rStyle w:val="FootnoteReference"/>
        </w:rPr>
        <w:footnoteReference w:id="47"/>
      </w:r>
      <w:r>
        <w:rPr>
          <w:i/>
        </w:rPr>
        <w:t xml:space="preserve"> </w:t>
      </w:r>
      <w:r w:rsidR="005E41C3">
        <w:t xml:space="preserve"> </w:t>
      </w:r>
      <w:r>
        <w:t>Sierra Club cites this case for the unremarkable proposition that parties have a right to present and rebut evidence on disputed issues.  What Sierra Club does not discuss is that in this case, the Texas Supreme Court found no procedural due process violation in a case where the intervening cities complained:</w:t>
      </w:r>
    </w:p>
    <w:p w14:paraId="6B1D6FF6" w14:textId="77777777" w:rsidR="00D479C6" w:rsidRDefault="00D479C6" w:rsidP="00D479C6">
      <w:pPr>
        <w:spacing w:line="240" w:lineRule="auto"/>
        <w:ind w:left="720" w:right="720" w:firstLine="0"/>
        <w:rPr>
          <w:color w:val="212121"/>
        </w:rPr>
      </w:pPr>
      <w:proofErr w:type="gramStart"/>
      <w:r w:rsidRPr="002875FA">
        <w:rPr>
          <w:color w:val="212121"/>
        </w:rPr>
        <w:t>they</w:t>
      </w:r>
      <w:proofErr w:type="gramEnd"/>
      <w:r w:rsidRPr="002875FA">
        <w:rPr>
          <w:color w:val="212121"/>
        </w:rPr>
        <w:t xml:space="preserve"> were afforded only “39 minutes of cross examination [of 36 witnesses] reduced by any time presenting an opening statement.” Accordingly, the Cities argue, their due process rights were violated in the first instance because they did not have a reasonable a</w:t>
      </w:r>
      <w:r>
        <w:rPr>
          <w:color w:val="212121"/>
        </w:rPr>
        <w:t>mount of time to prepare… or to cross examine witnesses.  (</w:t>
      </w:r>
      <w:proofErr w:type="gramStart"/>
      <w:r>
        <w:rPr>
          <w:color w:val="212121"/>
        </w:rPr>
        <w:t>citation</w:t>
      </w:r>
      <w:proofErr w:type="gramEnd"/>
      <w:r>
        <w:rPr>
          <w:color w:val="212121"/>
        </w:rPr>
        <w:t xml:space="preserve"> omitted).</w:t>
      </w:r>
    </w:p>
    <w:p w14:paraId="635D1E23" w14:textId="77777777" w:rsidR="00D479C6" w:rsidRDefault="00D479C6" w:rsidP="00D479C6">
      <w:pPr>
        <w:spacing w:line="240" w:lineRule="auto"/>
        <w:ind w:right="720" w:firstLine="0"/>
        <w:rPr>
          <w:color w:val="212121"/>
        </w:rPr>
      </w:pPr>
    </w:p>
    <w:p w14:paraId="065A029B" w14:textId="77777777" w:rsidR="00D479C6" w:rsidRDefault="00D479C6" w:rsidP="00D479C6">
      <w:pPr>
        <w:spacing w:line="240" w:lineRule="auto"/>
        <w:ind w:right="720" w:firstLine="0"/>
        <w:rPr>
          <w:color w:val="212121"/>
        </w:rPr>
      </w:pPr>
      <w:r>
        <w:rPr>
          <w:color w:val="212121"/>
        </w:rPr>
        <w:t>The court responded:</w:t>
      </w:r>
    </w:p>
    <w:p w14:paraId="46229846" w14:textId="77777777" w:rsidR="00D479C6" w:rsidRDefault="00D479C6" w:rsidP="00D479C6">
      <w:pPr>
        <w:spacing w:line="240" w:lineRule="auto"/>
        <w:ind w:right="720" w:firstLine="0"/>
        <w:rPr>
          <w:color w:val="212121"/>
        </w:rPr>
      </w:pPr>
    </w:p>
    <w:p w14:paraId="38389676" w14:textId="77777777" w:rsidR="00D479C6" w:rsidRPr="002875FA" w:rsidRDefault="00D479C6" w:rsidP="00D479C6">
      <w:pPr>
        <w:spacing w:line="240" w:lineRule="auto"/>
        <w:ind w:left="720" w:right="720" w:firstLine="0"/>
        <w:rPr>
          <w:color w:val="212121"/>
        </w:rPr>
      </w:pPr>
      <w:r w:rsidRPr="002875FA">
        <w:rPr>
          <w:color w:val="212121"/>
        </w:rPr>
        <w:t>Cities do not identify any instance in which the Commission's procedural schedule prevented them from making arguments or offering proof on a fact or policy issue material to the Commission's decision. As to the one issue that the Cities did identify—whether the assumed interest rate of 8.5 percent on the transition bonds benefits consumers—the Cities in fact made their argument and offered proof. The Commission made findings as required by </w:t>
      </w:r>
      <w:r w:rsidR="0057562F">
        <w:rPr>
          <w:color w:val="212121"/>
        </w:rPr>
        <w:t>section 39.301 of the PURA</w:t>
      </w:r>
      <w:r w:rsidRPr="002875FA">
        <w:rPr>
          <w:color w:val="212121"/>
        </w:rPr>
        <w:t>. The merits of that issue were determined on an adequate record.  In view of the entire record in this case, we are persuaded that the Cities were accorded due process</w:t>
      </w:r>
      <w:r>
        <w:rPr>
          <w:color w:val="212121"/>
        </w:rPr>
        <w:t>.</w:t>
      </w:r>
      <w:r w:rsidRPr="002875FA">
        <w:rPr>
          <w:color w:val="212121"/>
        </w:rPr>
        <w:t>”</w:t>
      </w:r>
      <w:r>
        <w:rPr>
          <w:rStyle w:val="FootnoteReference"/>
          <w:color w:val="212121"/>
        </w:rPr>
        <w:footnoteReference w:id="48"/>
      </w:r>
    </w:p>
    <w:p w14:paraId="6DF10F52" w14:textId="77777777" w:rsidR="00D479C6" w:rsidRPr="002875FA" w:rsidRDefault="00D479C6" w:rsidP="00D479C6">
      <w:pPr>
        <w:spacing w:line="240" w:lineRule="auto"/>
        <w:ind w:right="720" w:firstLine="0"/>
        <w:rPr>
          <w:color w:val="212121"/>
        </w:rPr>
      </w:pPr>
    </w:p>
    <w:p w14:paraId="53E5B08D" w14:textId="77777777" w:rsidR="005A2A69" w:rsidRDefault="005E41C3" w:rsidP="00D479C6">
      <w:pPr>
        <w:tabs>
          <w:tab w:val="left" w:pos="900"/>
        </w:tabs>
      </w:pPr>
      <w:r>
        <w:t>T</w:t>
      </w:r>
      <w:r w:rsidR="00D479C6">
        <w:t>he analysis of the Supreme Court clearly supports the reasonableness of the ALJs’ approach in the case at hand.  A</w:t>
      </w:r>
      <w:r w:rsidR="005A2A69">
        <w:t xml:space="preserve">s shown by their exceptions, exercising the opportunity for further input that they requested of the ALJs, OPUC and Sierra Club presented a significant </w:t>
      </w:r>
      <w:r w:rsidR="005A2A69">
        <w:lastRenderedPageBreak/>
        <w:t xml:space="preserve">amount of substantive criticisms of Mr. Strunk’s analysis, though these criticisms were ultimately not found convincing by the ALJs.  The remedy ordered by the ALJs fairly addressed the intervenors’ desire for a fair opportunity to address the Strunk analysis. </w:t>
      </w:r>
    </w:p>
    <w:p w14:paraId="2DB3037D" w14:textId="77777777" w:rsidR="005A2A69" w:rsidRPr="007617AA" w:rsidRDefault="005A2A69" w:rsidP="005A2A69">
      <w:pPr>
        <w:spacing w:after="240" w:line="240" w:lineRule="auto"/>
        <w:ind w:left="720" w:firstLine="0"/>
        <w:rPr>
          <w:b/>
        </w:rPr>
      </w:pPr>
      <w:r w:rsidRPr="007617AA">
        <w:rPr>
          <w:b/>
          <w:i/>
        </w:rPr>
        <w:t>On the Merits, Mr. Strunk’s Analysis Fully Supports the Prudence of the Dolet Hills Retrofits.</w:t>
      </w:r>
    </w:p>
    <w:p w14:paraId="4799AC53" w14:textId="77777777" w:rsidR="005A2A69" w:rsidRPr="00161F5E" w:rsidRDefault="005A2A69" w:rsidP="00E9474C">
      <w:r>
        <w:t>OPUC and Sierra Club lay out an uncritical view of their own positions on the merit of Mr. Strunk’s analysis and conclude the PFD should have accepted their position</w:t>
      </w:r>
      <w:r w:rsidR="0028564D">
        <w:t>s</w:t>
      </w:r>
      <w:r>
        <w:t xml:space="preserve"> rather than SWEPCO</w:t>
      </w:r>
      <w:r w:rsidR="00E2590A">
        <w:t>’s position</w:t>
      </w:r>
      <w:r>
        <w:t xml:space="preserve">.  As </w:t>
      </w:r>
      <w:r w:rsidR="00E2590A">
        <w:t xml:space="preserve">summarized </w:t>
      </w:r>
      <w:r>
        <w:t xml:space="preserve">below, Mr. Strunk debunked the intervenors’ </w:t>
      </w:r>
      <w:r w:rsidR="0057562F">
        <w:t>positions</w:t>
      </w:r>
      <w:r>
        <w:t xml:space="preserve"> and showed that his analysis remained compelling in the face of </w:t>
      </w:r>
      <w:r w:rsidR="00E2590A">
        <w:t xml:space="preserve">their </w:t>
      </w:r>
      <w:r>
        <w:t xml:space="preserve">unwarranted criticisms.  </w:t>
      </w:r>
      <w:r w:rsidR="00E2590A">
        <w:t>H</w:t>
      </w:r>
      <w:r>
        <w:t>owever, it is important to understand the ALJs had a more nuanced view of the competing evidence, one that makes more sense in light of the prudence standard under which that evidence was offered.  The ALJs did not, as Sierra Club implies,</w:t>
      </w:r>
      <w:r>
        <w:rPr>
          <w:rStyle w:val="FootnoteReference"/>
        </w:rPr>
        <w:footnoteReference w:id="49"/>
      </w:r>
      <w:r>
        <w:t xml:space="preserve"> find that intervenor criticisms of Mr. Strunk’s analysis were meritorious; instead, the import of the ALJs’ analysis is that though there was room for disagreement among experts, </w:t>
      </w:r>
      <w:r w:rsidRPr="0039241D">
        <w:t>“</w:t>
      </w:r>
      <w:r w:rsidR="00E2590A">
        <w:t>[t]</w:t>
      </w:r>
      <w:r w:rsidRPr="0039241D">
        <w:t>he important thing, however, is that Mr. Strunk’s model demonstrates that what SWEPCO chose to do by investing $56 million in retrofits at Dolet Hills was one of a range of reasonable options in 2012.”</w:t>
      </w:r>
      <w:r w:rsidR="00F07275">
        <w:rPr>
          <w:rStyle w:val="FootnoteReference"/>
        </w:rPr>
        <w:footnoteReference w:id="50"/>
      </w:r>
      <w:r>
        <w:t xml:space="preserve">  Thus, SWEPCO has satisfied the requirements of the prudence standard.</w:t>
      </w:r>
    </w:p>
    <w:p w14:paraId="6D74C4CA" w14:textId="77777777" w:rsidR="005A2A69" w:rsidRDefault="005A2A69" w:rsidP="005A2A69">
      <w:pPr>
        <w:tabs>
          <w:tab w:val="left" w:pos="900"/>
        </w:tabs>
      </w:pPr>
      <w:r>
        <w:rPr>
          <w:i/>
        </w:rPr>
        <w:tab/>
      </w:r>
      <w:r w:rsidR="00E2590A">
        <w:t>N</w:t>
      </w:r>
      <w:r>
        <w:t xml:space="preserve">either the Sierra Club nor OPUC challenges the basic </w:t>
      </w:r>
      <w:r w:rsidR="00E2590A">
        <w:t xml:space="preserve">approach </w:t>
      </w:r>
      <w:r>
        <w:t xml:space="preserve">of Mr. Strunk’s analysis to compare the Dolet Hills retrofits to retirement and replacement of Dolet Hills with other sources of capacity.  They do not contend that a different type of study was necessary to evaluate the retrofit decision.  Thus, because Mr. Strunk conducted a robust analysis, of the type appropriate to the decision in question, and because Sierra Club and OPUC fail to cast doubt on the details of that analysis, the Commission can reasonably rely on it (as did the ALJs) as the rigorous retrospective prudence analysis </w:t>
      </w:r>
      <w:r w:rsidR="00E2590A">
        <w:t xml:space="preserve">required </w:t>
      </w:r>
      <w:r>
        <w:t>by Commission precedent.</w:t>
      </w:r>
      <w:r>
        <w:rPr>
          <w:rStyle w:val="FootnoteReference"/>
        </w:rPr>
        <w:footnoteReference w:id="51"/>
      </w:r>
    </w:p>
    <w:p w14:paraId="33AE7504" w14:textId="77777777" w:rsidR="005A2A69" w:rsidRPr="007617AA" w:rsidRDefault="005A2A69" w:rsidP="0057562F">
      <w:pPr>
        <w:keepNext/>
        <w:widowControl/>
        <w:rPr>
          <w:b/>
          <w:i/>
        </w:rPr>
      </w:pPr>
      <w:r w:rsidRPr="007617AA">
        <w:rPr>
          <w:b/>
          <w:i/>
        </w:rPr>
        <w:lastRenderedPageBreak/>
        <w:t xml:space="preserve">OPUC Critique Regarding </w:t>
      </w:r>
      <w:r w:rsidR="00E2590A">
        <w:rPr>
          <w:b/>
          <w:i/>
        </w:rPr>
        <w:t xml:space="preserve">Forecast </w:t>
      </w:r>
      <w:r w:rsidRPr="007617AA">
        <w:rPr>
          <w:b/>
          <w:i/>
        </w:rPr>
        <w:t>Gas Price</w:t>
      </w:r>
      <w:r w:rsidR="00E2590A">
        <w:rPr>
          <w:b/>
          <w:i/>
        </w:rPr>
        <w:t>s</w:t>
      </w:r>
      <w:r w:rsidRPr="007617AA">
        <w:rPr>
          <w:b/>
          <w:i/>
        </w:rPr>
        <w:t xml:space="preserve"> </w:t>
      </w:r>
    </w:p>
    <w:p w14:paraId="46CBE90E" w14:textId="77777777" w:rsidR="005A2A69" w:rsidRDefault="005A2A69" w:rsidP="0057562F">
      <w:pPr>
        <w:keepNext/>
        <w:widowControl/>
        <w:tabs>
          <w:tab w:val="left" w:pos="900"/>
        </w:tabs>
      </w:pPr>
      <w:r>
        <w:t>OPUC continues to argue that Mr. Strunk’s analysis should be rejected because the low end forecast gas prices he used were higher than some of the third party forecasts SWEPCO had in its possession in 2011-2012.</w:t>
      </w:r>
      <w:r>
        <w:rPr>
          <w:rStyle w:val="FootnoteReference"/>
        </w:rPr>
        <w:footnoteReference w:id="52"/>
      </w:r>
      <w:r>
        <w:t xml:space="preserve">  A retrospective analysis, however, need not use information identical to that utilized by the utility.  The purpose of such analysis is to determine the decision that “a reasonable utility manager” </w:t>
      </w:r>
      <w:r w:rsidR="00E2590A">
        <w:t>c</w:t>
      </w:r>
      <w:r>
        <w:t>ould have made, not to reconstruct SWEPCO’s specific decision</w:t>
      </w:r>
      <w:r w:rsidR="00FD0740">
        <w:t>-</w:t>
      </w:r>
      <w:r>
        <w:t>making process.  Mr. Strunk made clear that his objective was to perform an independent retrospe</w:t>
      </w:r>
      <w:r w:rsidR="0028564D">
        <w:t>ctive analysis, and use publicl</w:t>
      </w:r>
      <w:r>
        <w:t>y available contemporaneous information where available.</w:t>
      </w:r>
      <w:r>
        <w:rPr>
          <w:rStyle w:val="FootnoteReference"/>
        </w:rPr>
        <w:footnoteReference w:id="53"/>
      </w:r>
      <w:r>
        <w:t xml:space="preserve"> </w:t>
      </w:r>
    </w:p>
    <w:p w14:paraId="17B88652" w14:textId="77777777" w:rsidR="005A2A69" w:rsidRDefault="005A2A69" w:rsidP="005A2A69">
      <w:pPr>
        <w:tabs>
          <w:tab w:val="left" w:pos="900"/>
        </w:tabs>
      </w:pPr>
      <w:r>
        <w:t xml:space="preserve">There is not </w:t>
      </w:r>
      <w:r w:rsidR="0057562F">
        <w:t>a</w:t>
      </w:r>
      <w:r>
        <w:t xml:space="preserve"> single forecast, </w:t>
      </w:r>
      <w:r w:rsidR="00E2590A">
        <w:t>n</w:t>
      </w:r>
      <w:r>
        <w:t>or one set of forecasts, that should or must be considered superior to all others, given the uncertainty at the time in such forecasting.</w:t>
      </w:r>
      <w:r>
        <w:rPr>
          <w:rStyle w:val="FootnoteReference"/>
        </w:rPr>
        <w:footnoteReference w:id="54"/>
      </w:r>
      <w:r>
        <w:t xml:space="preserve">  Mr. Strunk’s forecast</w:t>
      </w:r>
      <w:r w:rsidR="00E2590A">
        <w:t xml:space="preserve"> gas price</w:t>
      </w:r>
      <w:r>
        <w:t xml:space="preserve"> sensitivities were not of his own making.  His base, high and low forecasts all used the Energy Information Administration (EIA) Annual Energy Outlook for the relevant time frame.</w:t>
      </w:r>
      <w:r>
        <w:rPr>
          <w:rStyle w:val="FootnoteReference"/>
        </w:rPr>
        <w:footnoteReference w:id="55"/>
      </w:r>
      <w:r>
        <w:t xml:space="preserve">  The EIA is a division of the U.S. Department of Energy, established by the Department of Energy Organization Act of 1977, and is specifically tasked with disseminating independent and impartial energy information to promote sound policymaking.</w:t>
      </w:r>
      <w:r>
        <w:rPr>
          <w:rStyle w:val="FootnoteReference"/>
        </w:rPr>
        <w:footnoteReference w:id="56"/>
      </w:r>
      <w:r>
        <w:t xml:space="preserve">  The EIA provides a reference forecast widely utilized by utilities and consultants alike.  Notably, Ms. Wilson did not criticize Mr. Strunk’s gas prices.  In fact, Ms. Wilson’s consulting firm, Synapse, also relies on EIA forecasts, including in the testimony Sierra Club presented in the LPSC proceeding addressing the Dolet Hills retrofits.</w:t>
      </w:r>
      <w:r>
        <w:rPr>
          <w:rStyle w:val="FootnoteReference"/>
        </w:rPr>
        <w:footnoteReference w:id="57"/>
      </w:r>
    </w:p>
    <w:p w14:paraId="1D05AF2A" w14:textId="77777777" w:rsidR="005A2A69" w:rsidRDefault="005A2A69" w:rsidP="005A2A69">
      <w:pPr>
        <w:tabs>
          <w:tab w:val="left" w:pos="900"/>
        </w:tabs>
      </w:pPr>
      <w:r>
        <w:t>Moreover, side by side comparison of Mr. Strunk’s base forecast</w:t>
      </w:r>
      <w:r>
        <w:rPr>
          <w:rStyle w:val="FootnoteReference"/>
        </w:rPr>
        <w:footnoteReference w:id="58"/>
      </w:r>
      <w:r>
        <w:t xml:space="preserve"> to the forecasts </w:t>
      </w:r>
      <w:r>
        <w:lastRenderedPageBreak/>
        <w:t>pointed to by OPUC witness Woodruff</w:t>
      </w:r>
      <w:r>
        <w:rPr>
          <w:rStyle w:val="FootnoteReference"/>
        </w:rPr>
        <w:footnoteReference w:id="59"/>
      </w:r>
      <w:r>
        <w:t xml:space="preserve"> shows that the 2013-30 trend in Mr. Strunk’s base case forecast (about $4.50 to $9.50 per MMBtu) falls within the range of forecasts highlighted by Mr. Woodruff in OPUC Ex. 20B during that same period.  OPUC points to nothing calling into question the reasonableness of Mr. Strunk’s forecasts; </w:t>
      </w:r>
      <w:r w:rsidR="00E2590A">
        <w:t>OPUC merely</w:t>
      </w:r>
      <w:r>
        <w:t xml:space="preserve"> points </w:t>
      </w:r>
      <w:r w:rsidR="00E2590A">
        <w:t xml:space="preserve">out </w:t>
      </w:r>
      <w:r>
        <w:t>there were other forecasts in existence, equally subject to uncertainty.</w:t>
      </w:r>
    </w:p>
    <w:p w14:paraId="7E1D9AA6" w14:textId="77777777" w:rsidR="005A2A69" w:rsidRPr="007617AA" w:rsidRDefault="005A2A69" w:rsidP="005A2A69">
      <w:pPr>
        <w:tabs>
          <w:tab w:val="left" w:pos="900"/>
        </w:tabs>
        <w:rPr>
          <w:b/>
          <w:i/>
        </w:rPr>
      </w:pPr>
      <w:proofErr w:type="gramStart"/>
      <w:r w:rsidRPr="007617AA">
        <w:rPr>
          <w:b/>
          <w:i/>
        </w:rPr>
        <w:t xml:space="preserve">OPUC Critique Regarding </w:t>
      </w:r>
      <w:r w:rsidR="00E2590A">
        <w:rPr>
          <w:b/>
          <w:i/>
        </w:rPr>
        <w:t>Purchase</w:t>
      </w:r>
      <w:r w:rsidR="00E2590A" w:rsidRPr="007617AA">
        <w:rPr>
          <w:b/>
          <w:i/>
        </w:rPr>
        <w:t xml:space="preserve"> </w:t>
      </w:r>
      <w:r w:rsidRPr="007617AA">
        <w:rPr>
          <w:b/>
          <w:i/>
        </w:rPr>
        <w:t>of Used Power Plants.</w:t>
      </w:r>
      <w:proofErr w:type="gramEnd"/>
    </w:p>
    <w:p w14:paraId="50C2BB94" w14:textId="77777777" w:rsidR="005A2A69" w:rsidRDefault="005A2A69" w:rsidP="005A2A69">
      <w:pPr>
        <w:tabs>
          <w:tab w:val="left" w:pos="900"/>
        </w:tabs>
      </w:pPr>
      <w:r>
        <w:t>OPUC further argues that Mr. Strunk’s analysis is flawed for not considering the</w:t>
      </w:r>
      <w:r w:rsidR="0059725E">
        <w:t xml:space="preserve"> cost </w:t>
      </w:r>
      <w:proofErr w:type="gramStart"/>
      <w:r w:rsidR="0059725E">
        <w:t xml:space="preserve">of </w:t>
      </w:r>
      <w:r>
        <w:t xml:space="preserve"> purchas</w:t>
      </w:r>
      <w:r w:rsidR="0059725E">
        <w:t>ing</w:t>
      </w:r>
      <w:proofErr w:type="gramEnd"/>
      <w:r>
        <w:t xml:space="preserve"> a used power plant as an alternative to the retrofits, and claims that SWEPCO’s arguments against this alternative are circular.</w:t>
      </w:r>
      <w:r>
        <w:rPr>
          <w:rStyle w:val="FootnoteReference"/>
        </w:rPr>
        <w:footnoteReference w:id="60"/>
      </w:r>
      <w:r>
        <w:t xml:space="preserve">  </w:t>
      </w:r>
      <w:r w:rsidR="0059725E">
        <w:t>A</w:t>
      </w:r>
      <w:r>
        <w:t xml:space="preserve">s explained by several SWEPCO witnesses, the many uncertainties surrounding the ability to purchase a used power plant, </w:t>
      </w:r>
      <w:r w:rsidR="0059725E">
        <w:t>and surrounding the ability to reliably estimate</w:t>
      </w:r>
      <w:r>
        <w:t xml:space="preserve"> its ultimate price, amply support a prudent choice to use other reasonable capacity proxy prices such as CCGT replacement cost, to provide a more reliable basis for carrying out economic disposition analyses.</w:t>
      </w:r>
      <w:r>
        <w:rPr>
          <w:rStyle w:val="FootnoteReference"/>
        </w:rPr>
        <w:footnoteReference w:id="61"/>
      </w:r>
    </w:p>
    <w:p w14:paraId="59A2FE8C" w14:textId="77777777" w:rsidR="005A2A69" w:rsidRDefault="005A2A69" w:rsidP="005A2A69">
      <w:pPr>
        <w:tabs>
          <w:tab w:val="left" w:pos="360"/>
        </w:tabs>
        <w:ind w:firstLine="360"/>
      </w:pPr>
      <w:r>
        <w:tab/>
      </w:r>
      <w:r w:rsidRPr="000B7FF5">
        <w:t xml:space="preserve">Mr. Strunk, and Company witnesses Hakimi and Becker, demonstrate that a reasonable utility manager could </w:t>
      </w:r>
      <w:r>
        <w:t xml:space="preserve">reject </w:t>
      </w:r>
      <w:r w:rsidR="0059725E">
        <w:t xml:space="preserve">the utililization of </w:t>
      </w:r>
      <w:r>
        <w:t>OPUC’s alternative for multiple reasons</w:t>
      </w:r>
      <w:r w:rsidRPr="000B7FF5">
        <w:t>.</w:t>
      </w:r>
      <w:r>
        <w:rPr>
          <w:rStyle w:val="FootnoteReference"/>
        </w:rPr>
        <w:footnoteReference w:id="62"/>
      </w:r>
      <w:r w:rsidRPr="000B7FF5">
        <w:t xml:space="preserve">  OPUC puts forth no evidence to demonstrate that these are realistic, transactable opportunities for SWEPCO</w:t>
      </w:r>
      <w:r>
        <w:t xml:space="preserve"> and thus, no evidence that the prices of the other transactions could be replicated by SWEPCO</w:t>
      </w:r>
      <w:r w:rsidRPr="000B7FF5">
        <w:t>.</w:t>
      </w:r>
      <w:r>
        <w:rPr>
          <w:rStyle w:val="FootnoteReference"/>
        </w:rPr>
        <w:footnoteReference w:id="63"/>
      </w:r>
      <w:r w:rsidRPr="000B7FF5">
        <w:t xml:space="preserve">  </w:t>
      </w:r>
      <w:r>
        <w:t>“</w:t>
      </w:r>
      <w:r w:rsidR="0057562F">
        <w:t>E</w:t>
      </w:r>
      <w:r>
        <w:t>xisting plants are cheaper precisely because of their disadvantages versus new plants.  Such disadvantages can include:  a shorter remaining useful life, lower fuel efficiency, higher outage rates, and more expensive maintenance, to name a few.”</w:t>
      </w:r>
      <w:r>
        <w:rPr>
          <w:rStyle w:val="FootnoteReference"/>
        </w:rPr>
        <w:footnoteReference w:id="64"/>
      </w:r>
      <w:r>
        <w:t xml:space="preserve">  Deliverability issues, transmission limitations, costs and routing issues, fuel supply availability, the condition of the unit, and a host of other operational issues also arise which must be assessed, and any one of </w:t>
      </w:r>
      <w:r>
        <w:lastRenderedPageBreak/>
        <w:t>which could undermine the feasibility of an existing plant acquisition.</w:t>
      </w:r>
      <w:r>
        <w:rPr>
          <w:rStyle w:val="FootnoteReference"/>
        </w:rPr>
        <w:footnoteReference w:id="65"/>
      </w:r>
    </w:p>
    <w:p w14:paraId="5D0C1C45" w14:textId="77777777" w:rsidR="005A2A69" w:rsidRDefault="005A2A69" w:rsidP="005A2A69">
      <w:pPr>
        <w:tabs>
          <w:tab w:val="left" w:pos="360"/>
        </w:tabs>
        <w:ind w:firstLine="360"/>
      </w:pPr>
      <w:r>
        <w:tab/>
      </w:r>
      <w:r w:rsidRPr="000B7FF5">
        <w:t xml:space="preserve">Moreover, without very significant, time and resource intensive </w:t>
      </w:r>
      <w:r w:rsidR="0059725E">
        <w:t xml:space="preserve">investigation of </w:t>
      </w:r>
      <w:r>
        <w:t>potential used plant purchases</w:t>
      </w:r>
      <w:r w:rsidRPr="000B7FF5">
        <w:t xml:space="preserve">, </w:t>
      </w:r>
      <w:r>
        <w:t>“one cannot draw a meaningful conclusion about their usefulness and appropriateness as a substitute for any of SWEPCO’s solid fuel units.”</w:t>
      </w:r>
      <w:r>
        <w:rPr>
          <w:rStyle w:val="FootnoteReference"/>
        </w:rPr>
        <w:footnoteReference w:id="66"/>
      </w:r>
      <w:r w:rsidRPr="000B7FF5">
        <w:t xml:space="preserve">  </w:t>
      </w:r>
      <w:r w:rsidR="0059725E">
        <w:t>Moreover, t</w:t>
      </w:r>
      <w:r w:rsidRPr="000B7FF5">
        <w:t>he conduct of</w:t>
      </w:r>
      <w:r>
        <w:t xml:space="preserve"> a resource and time intensive </w:t>
      </w:r>
      <w:r w:rsidRPr="000B7FF5">
        <w:t>R</w:t>
      </w:r>
      <w:r w:rsidR="0059725E">
        <w:t xml:space="preserve">equest </w:t>
      </w:r>
      <w:proofErr w:type="gramStart"/>
      <w:r w:rsidRPr="000B7FF5">
        <w:t>F</w:t>
      </w:r>
      <w:r w:rsidR="0059725E">
        <w:t>or</w:t>
      </w:r>
      <w:proofErr w:type="gramEnd"/>
      <w:r w:rsidR="0059725E">
        <w:t xml:space="preserve"> </w:t>
      </w:r>
      <w:r w:rsidRPr="000B7FF5">
        <w:t>P</w:t>
      </w:r>
      <w:r w:rsidR="0059725E">
        <w:t>roposals</w:t>
      </w:r>
      <w:r w:rsidRPr="000B7FF5">
        <w:t>, as some sort of market test, would not likely yield bona</w:t>
      </w:r>
      <w:r>
        <w:t xml:space="preserve"> </w:t>
      </w:r>
      <w:r w:rsidRPr="000B7FF5">
        <w:t>fide offers</w:t>
      </w:r>
      <w:r w:rsidR="0059725E">
        <w:t>.  Thus, it certainly would not</w:t>
      </w:r>
      <w:r w:rsidRPr="000B7FF5">
        <w:t xml:space="preserve"> provide an indication of long term capacity cost better than </w:t>
      </w:r>
      <w:r w:rsidR="0059725E">
        <w:t xml:space="preserve">using the cost of </w:t>
      </w:r>
      <w:r w:rsidRPr="000B7FF5">
        <w:t>a replacement CCGT.</w:t>
      </w:r>
      <w:r>
        <w:rPr>
          <w:rStyle w:val="FootnoteReference"/>
        </w:rPr>
        <w:footnoteReference w:id="67"/>
      </w:r>
      <w:r w:rsidRPr="000B7FF5">
        <w:t xml:space="preserve">  Given all the risks and uncertainties associated with buying an existing plant, </w:t>
      </w:r>
      <w:r>
        <w:t xml:space="preserve">it does not provide a reasonable basis for determining capacity costs for purposes of an economic disposition analysis, while </w:t>
      </w:r>
      <w:r w:rsidRPr="000B7FF5">
        <w:t xml:space="preserve">the economics of such an acquisition would not </w:t>
      </w:r>
      <w:r>
        <w:t xml:space="preserve">in any event </w:t>
      </w:r>
      <w:r w:rsidR="0059725E">
        <w:t xml:space="preserve">likely </w:t>
      </w:r>
      <w:r w:rsidRPr="000B7FF5">
        <w:t>have been different, over a thirty year horizon, than the economics of the replacement CCGT modeled by Mr. Strunk.</w:t>
      </w:r>
      <w:r w:rsidRPr="000B7FF5">
        <w:rPr>
          <w:rStyle w:val="FootnoteReference"/>
        </w:rPr>
        <w:footnoteReference w:id="68"/>
      </w:r>
      <w:r>
        <w:t xml:space="preserve">  </w:t>
      </w:r>
    </w:p>
    <w:p w14:paraId="34A573FC" w14:textId="77777777" w:rsidR="005A2A69" w:rsidRPr="007617AA" w:rsidRDefault="005A2A69" w:rsidP="005A2A69">
      <w:pPr>
        <w:tabs>
          <w:tab w:val="left" w:pos="360"/>
        </w:tabs>
        <w:ind w:firstLine="360"/>
        <w:rPr>
          <w:b/>
          <w:i/>
        </w:rPr>
      </w:pPr>
      <w:r w:rsidRPr="007617AA">
        <w:rPr>
          <w:b/>
        </w:rPr>
        <w:tab/>
      </w:r>
      <w:r w:rsidRPr="007617AA">
        <w:rPr>
          <w:b/>
          <w:i/>
        </w:rPr>
        <w:t>Sierra Club’s Criticisms of Mr. Strunk’s Analysis</w:t>
      </w:r>
    </w:p>
    <w:p w14:paraId="4A5F5A1F" w14:textId="77777777" w:rsidR="005A2A69" w:rsidRPr="00523407" w:rsidRDefault="005A2A69" w:rsidP="005A2A69">
      <w:pPr>
        <w:tabs>
          <w:tab w:val="left" w:pos="360"/>
        </w:tabs>
        <w:ind w:firstLine="360"/>
      </w:pPr>
      <w:r>
        <w:rPr>
          <w:i/>
        </w:rPr>
        <w:tab/>
      </w:r>
      <w:r>
        <w:t>Sierra Club’s criticisms of the Strunk analysis should be taken with a grain of salt, given its demonstrated bias against coal-fired generation and in favor of wholesale retirement of coal-fired facilities.  Sierra Club witness Rachel Wilson (whose consulting firm is funded in part by Sierra Club) has testified almost exclusively on behalf of Sierra Club, and has never in her career testified in support of an environmental retrofit over a plant retirement.</w:t>
      </w:r>
      <w:r>
        <w:rPr>
          <w:rStyle w:val="FootnoteReference"/>
        </w:rPr>
        <w:footnoteReference w:id="69"/>
      </w:r>
      <w:r>
        <w:t xml:space="preserve">  As discussed below, Ms. Wilson’s claims regarding Mr. Strunk’s analysis were shown to be inaccurate, immaterial to the support the analysis gives to the retrofit alternative, or both.</w:t>
      </w:r>
    </w:p>
    <w:p w14:paraId="47112D5B" w14:textId="77777777" w:rsidR="005A2A69" w:rsidRPr="007617AA" w:rsidRDefault="005A2A69" w:rsidP="00F07275">
      <w:pPr>
        <w:widowControl/>
        <w:tabs>
          <w:tab w:val="left" w:pos="360"/>
        </w:tabs>
        <w:rPr>
          <w:b/>
          <w:i/>
        </w:rPr>
      </w:pPr>
      <w:r w:rsidRPr="007617AA">
        <w:rPr>
          <w:b/>
          <w:i/>
        </w:rPr>
        <w:t>Oxbow Mine Costs</w:t>
      </w:r>
    </w:p>
    <w:p w14:paraId="7905CA95" w14:textId="77777777" w:rsidR="005A2A69" w:rsidRDefault="005A2A69" w:rsidP="00F07275">
      <w:pPr>
        <w:widowControl/>
        <w:tabs>
          <w:tab w:val="left" w:pos="360"/>
        </w:tabs>
      </w:pPr>
      <w:r>
        <w:t xml:space="preserve">Sierra Club renews its criticism of Mr. Strunk for including in the retirement side of his economic analysis costs associated with what are sometimes referred to in the record as the “Oxbow Mine costs.”  These costs include </w:t>
      </w:r>
      <w:r w:rsidR="0059725E">
        <w:t xml:space="preserve">lignite </w:t>
      </w:r>
      <w:r>
        <w:t xml:space="preserve">mine investment and closing costs that, although typically recovered in Commission-approved fuel rates, would not have been fully </w:t>
      </w:r>
      <w:r>
        <w:lastRenderedPageBreak/>
        <w:t>recovered at the time Dolet Hills would have been retired under the retirement scenario in the economic analysis.</w:t>
      </w:r>
      <w:r>
        <w:rPr>
          <w:rStyle w:val="FootnoteReference"/>
        </w:rPr>
        <w:footnoteReference w:id="70"/>
      </w:r>
      <w:r>
        <w:t xml:space="preserve">  Ms. Wilson’s position on the treatment of these costs should be rejected, since their consideration by Mr. Strunk was reasonable and accurate.  Dolet Hills is a mine mouth plant, so the costs of the lignite mine developed specifically to serve the plant are as relevant a cost as the book value of the plant itself at retirement.</w:t>
      </w:r>
      <w:r>
        <w:rPr>
          <w:rStyle w:val="FootnoteReference"/>
        </w:rPr>
        <w:footnoteReference w:id="71"/>
      </w:r>
      <w:r>
        <w:t xml:space="preserve">  Cleco </w:t>
      </w:r>
      <w:r w:rsidR="0059725E">
        <w:t>(</w:t>
      </w:r>
      <w:r>
        <w:t>though it is not the owner of the mine</w:t>
      </w:r>
      <w:r w:rsidR="0059725E">
        <w:t>)</w:t>
      </w:r>
      <w:r>
        <w:t xml:space="preserve"> pointed these costs out to the LPSC and explained that its economic analysis was conservative for</w:t>
      </w:r>
      <w:r w:rsidRPr="0024379F">
        <w:t xml:space="preserve"> </w:t>
      </w:r>
      <w:r>
        <w:t>not accounting for them.</w:t>
      </w:r>
      <w:r>
        <w:rPr>
          <w:rStyle w:val="FootnoteReference"/>
        </w:rPr>
        <w:footnoteReference w:id="72"/>
      </w:r>
      <w:r>
        <w:t xml:space="preserve">  </w:t>
      </w:r>
    </w:p>
    <w:p w14:paraId="6E399DC1" w14:textId="77777777" w:rsidR="005A2A69" w:rsidRDefault="005A2A69" w:rsidP="005A2A69">
      <w:pPr>
        <w:tabs>
          <w:tab w:val="left" w:pos="360"/>
          <w:tab w:val="left" w:pos="720"/>
        </w:tabs>
      </w:pPr>
      <w:r>
        <w:t>Mr. Strunk also demonstrated that Ms. Wilson inaccurately implemented her own adjustment, by failing to remove the costs from both the retrofit and retirement analysis.  When properly removed from both sides of the analysis, the Oxbow Mine costs have no impact on it.</w:t>
      </w:r>
      <w:r>
        <w:rPr>
          <w:rStyle w:val="FootnoteReference"/>
        </w:rPr>
        <w:footnoteReference w:id="73"/>
      </w:r>
    </w:p>
    <w:p w14:paraId="3365D70C" w14:textId="77777777" w:rsidR="00BE3F57" w:rsidRDefault="005A2A69" w:rsidP="005A2A69">
      <w:pPr>
        <w:tabs>
          <w:tab w:val="left" w:pos="360"/>
          <w:tab w:val="left" w:pos="720"/>
        </w:tabs>
      </w:pPr>
      <w:r>
        <w:t xml:space="preserve">Independent of its lack of merit, Ms. Wilson’s adjustment to remove the Oxbow mine costs does not materially changed the outcome of Mr. Strunk’s analysis; for example, after the adjustment, the number of scenarios in which </w:t>
      </w:r>
      <w:r w:rsidR="0059725E">
        <w:t xml:space="preserve">the </w:t>
      </w:r>
      <w:r>
        <w:t>retrofit</w:t>
      </w:r>
      <w:r w:rsidR="0059725E">
        <w:t>s</w:t>
      </w:r>
      <w:r>
        <w:t xml:space="preserve"> </w:t>
      </w:r>
      <w:r w:rsidR="00BE3F57">
        <w:t>are</w:t>
      </w:r>
      <w:r>
        <w:t xml:space="preserve"> more economic than replacement </w:t>
      </w:r>
      <w:r w:rsidR="00BE3F57">
        <w:t xml:space="preserve">of Dolet Hills </w:t>
      </w:r>
      <w:r>
        <w:t>with CCGT capacity remains the same.</w:t>
      </w:r>
      <w:r>
        <w:rPr>
          <w:rStyle w:val="FootnoteReference"/>
        </w:rPr>
        <w:footnoteReference w:id="74"/>
      </w:r>
      <w:r>
        <w:t xml:space="preserve">  Sierra Club seems to be of the view that any change in Mr. Strunk’s chart that lowers the relative economic benefit of the retrofit alternative to any degree is somehow evidence of imprudence.  This is certainly not the case.  </w:t>
      </w:r>
    </w:p>
    <w:p w14:paraId="64F7AA6B" w14:textId="77777777" w:rsidR="005A2A69" w:rsidRDefault="005A2A69" w:rsidP="005A2A69">
      <w:pPr>
        <w:tabs>
          <w:tab w:val="left" w:pos="360"/>
          <w:tab w:val="left" w:pos="720"/>
        </w:tabs>
      </w:pPr>
      <w:r>
        <w:t>The economic analysis, with its many sensitivities and outcomes</w:t>
      </w:r>
      <w:r w:rsidR="00BE3F57">
        <w:t>,</w:t>
      </w:r>
      <w:r>
        <w:t xml:space="preserve"> is an evaluation tool, and a prudent utility manager would use judgment to determine which outcomes to give the most weight to, and also would view those outcomes in light of the uncertainty in general of economic forecasts and in view of the other information at hand bearing on th</w:t>
      </w:r>
      <w:r w:rsidR="00BE3F57">
        <w:t>e</w:t>
      </w:r>
      <w:r>
        <w:t xml:space="preserve"> decision.  Clearly, from the perspective of supporting reasoned judgment and evaluation, the economic analyses support the prudence of a retrofit decision without regard to how the Oxbow Mine costs are modeled.</w:t>
      </w:r>
    </w:p>
    <w:p w14:paraId="0C51BA85" w14:textId="77777777" w:rsidR="005A2A69" w:rsidRPr="007617AA" w:rsidRDefault="005A2A69" w:rsidP="0057562F">
      <w:pPr>
        <w:keepNext/>
        <w:widowControl/>
        <w:tabs>
          <w:tab w:val="left" w:pos="360"/>
          <w:tab w:val="left" w:pos="720"/>
        </w:tabs>
        <w:rPr>
          <w:b/>
          <w:i/>
        </w:rPr>
      </w:pPr>
      <w:r w:rsidRPr="007617AA">
        <w:rPr>
          <w:b/>
          <w:i/>
        </w:rPr>
        <w:lastRenderedPageBreak/>
        <w:t>CO</w:t>
      </w:r>
      <w:r w:rsidRPr="007617AA">
        <w:rPr>
          <w:b/>
          <w:i/>
          <w:vertAlign w:val="subscript"/>
        </w:rPr>
        <w:t>2</w:t>
      </w:r>
      <w:r w:rsidRPr="007617AA">
        <w:rPr>
          <w:b/>
          <w:i/>
        </w:rPr>
        <w:t xml:space="preserve"> Costs</w:t>
      </w:r>
    </w:p>
    <w:p w14:paraId="366D2628" w14:textId="77777777" w:rsidR="005A2A69" w:rsidRDefault="005A2A69" w:rsidP="0057562F">
      <w:pPr>
        <w:keepNext/>
        <w:widowControl/>
      </w:pPr>
      <w:r>
        <w:t>Sierra Club’s criticisms regarding the CO</w:t>
      </w:r>
      <w:r w:rsidRPr="001073F7">
        <w:rPr>
          <w:vertAlign w:val="subscript"/>
        </w:rPr>
        <w:t>2</w:t>
      </w:r>
      <w:r>
        <w:t xml:space="preserve"> cost forecast used by Mr. Strunk suffer the same fate as do its points regarding the Oxbow Mine costs; those criticisms are wrong, and ultimately, immaterial to the prudence of the retrofit decision.  Ms. Wilson claims that Mr. Strunk erred by not using SWEPCO’s then</w:t>
      </w:r>
      <w:r w:rsidR="00BE3F57">
        <w:t>-</w:t>
      </w:r>
      <w:r>
        <w:t>prevailing CO</w:t>
      </w:r>
      <w:r w:rsidRPr="00CA3137">
        <w:rPr>
          <w:vertAlign w:val="subscript"/>
        </w:rPr>
        <w:t>2</w:t>
      </w:r>
      <w:r>
        <w:t xml:space="preserve"> forecast in performing his economic analysis.</w:t>
      </w:r>
      <w:r>
        <w:rPr>
          <w:rStyle w:val="FootnoteReference"/>
        </w:rPr>
        <w:footnoteReference w:id="75"/>
      </w:r>
      <w:r>
        <w:t xml:space="preserve">  Mr. Strunk ha</w:t>
      </w:r>
      <w:r w:rsidR="00BE3F57">
        <w:t>d</w:t>
      </w:r>
      <w:r>
        <w:t xml:space="preserve"> no problem with SWEPCO’s forecast, but it was just one of many available at the time.  Mr. Strunk prepared an independent analysis.  In particular, he prepared his CO</w:t>
      </w:r>
      <w:r w:rsidRPr="00CA3137">
        <w:rPr>
          <w:vertAlign w:val="subscript"/>
        </w:rPr>
        <w:t>2</w:t>
      </w:r>
      <w:r>
        <w:t xml:space="preserve"> forecast based on his review of the multiple data points provided by Ms.</w:t>
      </w:r>
      <w:r w:rsidR="0028564D">
        <w:t> </w:t>
      </w:r>
      <w:r>
        <w:t xml:space="preserve">Wilson </w:t>
      </w:r>
      <w:r w:rsidR="00BE3F57">
        <w:t xml:space="preserve">from </w:t>
      </w:r>
      <w:r>
        <w:t>contemporaneous CO</w:t>
      </w:r>
      <w:r w:rsidRPr="00CA3137">
        <w:rPr>
          <w:vertAlign w:val="subscript"/>
        </w:rPr>
        <w:t>2</w:t>
      </w:r>
      <w:r>
        <w:t xml:space="preserve"> forecasts used by utilities in their resource planning.</w:t>
      </w:r>
      <w:r>
        <w:rPr>
          <w:rStyle w:val="FootnoteReference"/>
        </w:rPr>
        <w:footnoteReference w:id="76"/>
      </w:r>
      <w:r>
        <w:t xml:space="preserve">  Sierra Club makes absolutely </w:t>
      </w:r>
      <w:r w:rsidR="00BE3F57">
        <w:t xml:space="preserve">no </w:t>
      </w:r>
      <w:r>
        <w:t>criticism of the reasonableness of Mr. Strunk’s forecast as representative of forecasts in use at the time of the retrofit decision.</w:t>
      </w:r>
    </w:p>
    <w:p w14:paraId="145D9BF5" w14:textId="77777777" w:rsidR="005A2A69" w:rsidRDefault="005A2A69" w:rsidP="005A2A69">
      <w:r>
        <w:t>However, using SWEPCO’s CO</w:t>
      </w:r>
      <w:r w:rsidRPr="00CA3137">
        <w:rPr>
          <w:vertAlign w:val="subscript"/>
        </w:rPr>
        <w:t>2</w:t>
      </w:r>
      <w:r>
        <w:t xml:space="preserve"> forecast in the economic analysis instead of Mr. Strunk’s analysis does not materially change its results.  To the contrary, </w:t>
      </w:r>
      <w:r w:rsidRPr="004C24AB">
        <w:t>the economic</w:t>
      </w:r>
      <w:r>
        <w:t xml:space="preserve"> analysis, including the SWEPCO CO</w:t>
      </w:r>
      <w:r w:rsidRPr="00CA3137">
        <w:rPr>
          <w:vertAlign w:val="subscript"/>
        </w:rPr>
        <w:t>2</w:t>
      </w:r>
      <w:r>
        <w:t xml:space="preserve"> forecast, continues to produce results that support the </w:t>
      </w:r>
      <w:r w:rsidRPr="004C24AB">
        <w:t xml:space="preserve">retrofit </w:t>
      </w:r>
      <w:r>
        <w:t xml:space="preserve">as within the range of </w:t>
      </w:r>
      <w:r w:rsidRPr="004C24AB">
        <w:t xml:space="preserve">prudent courses of action </w:t>
      </w:r>
      <w:r>
        <w:t xml:space="preserve">that the Company could have </w:t>
      </w:r>
      <w:r w:rsidRPr="004C24AB">
        <w:t>taken.</w:t>
      </w:r>
      <w:r>
        <w:rPr>
          <w:rStyle w:val="FootnoteReference"/>
        </w:rPr>
        <w:footnoteReference w:id="77"/>
      </w:r>
      <w:r>
        <w:t xml:space="preserve">  This conclusion is supported by a new run of the economic model prepared by Mr. Strunk (reproduced </w:t>
      </w:r>
      <w:r w:rsidR="00BE3F57">
        <w:t>at the end of the following section</w:t>
      </w:r>
      <w:r>
        <w:t>) that incorporates his response</w:t>
      </w:r>
      <w:r w:rsidR="00BE3F57">
        <w:t>s</w:t>
      </w:r>
      <w:r>
        <w:t xml:space="preserve"> to all of Ms. Wilson’s unsupported criticisms.  Use of </w:t>
      </w:r>
      <w:r w:rsidR="00BE3F57">
        <w:t xml:space="preserve">Ms. Wilson’s </w:t>
      </w:r>
      <w:r>
        <w:t>preferred CO</w:t>
      </w:r>
      <w:r w:rsidRPr="001073F7">
        <w:rPr>
          <w:vertAlign w:val="subscript"/>
        </w:rPr>
        <w:t>2</w:t>
      </w:r>
      <w:r>
        <w:t xml:space="preserve"> prices </w:t>
      </w:r>
      <w:r w:rsidR="00BE3F57">
        <w:t>fails to</w:t>
      </w:r>
      <w:r>
        <w:t xml:space="preserve"> yield economic results that would </w:t>
      </w:r>
      <w:r w:rsidR="00BE3F57">
        <w:t xml:space="preserve">lead </w:t>
      </w:r>
      <w:r>
        <w:t>a reasonable utility manager to reject the retrofit alternative.  Again, Sierra Club’s complaints only serve to reinforce the robustness of the economic results favoring the retrofits.</w:t>
      </w:r>
    </w:p>
    <w:p w14:paraId="6634CE28" w14:textId="77777777" w:rsidR="005A2A69" w:rsidRPr="007617AA" w:rsidRDefault="005A2A69" w:rsidP="005A2A69">
      <w:pPr>
        <w:rPr>
          <w:b/>
          <w:i/>
        </w:rPr>
      </w:pPr>
      <w:r w:rsidRPr="007617AA">
        <w:rPr>
          <w:b/>
          <w:i/>
        </w:rPr>
        <w:t>Lignite Cost Forecast</w:t>
      </w:r>
    </w:p>
    <w:p w14:paraId="12D5D1AA" w14:textId="77777777" w:rsidR="005A2A69" w:rsidRDefault="005A2A69" w:rsidP="005A2A69">
      <w:r>
        <w:t xml:space="preserve">The last quantified adjustment Ms. Wilson alleged should be made to the Strunk analysis concerns the contemporaneous SWEPCO lignite cost forecast.  As the source for the lignite costs included in his economic analysis, Mr. Strunk used SWEPCO’s actual 2011 </w:t>
      </w:r>
      <w:proofErr w:type="gramStart"/>
      <w:r>
        <w:t>Dolet Hills</w:t>
      </w:r>
      <w:proofErr w:type="gramEnd"/>
      <w:r>
        <w:t xml:space="preserve"> budget, </w:t>
      </w:r>
      <w:r>
        <w:lastRenderedPageBreak/>
        <w:t>which forecasted SWEPCO’s lignite costs through 2026.</w:t>
      </w:r>
      <w:r>
        <w:rPr>
          <w:rStyle w:val="FootnoteReference"/>
        </w:rPr>
        <w:footnoteReference w:id="78"/>
      </w:r>
      <w:r>
        <w:t xml:space="preserve">  Ms. Wilson claims that these budget costs are too low, based on her comparison of these budget costs to actual annual lignite costs reported to EIA for the Dolet Hills Plant in 2011, 2012, and 2013.</w:t>
      </w:r>
      <w:r>
        <w:rPr>
          <w:rStyle w:val="FootnoteReference"/>
        </w:rPr>
        <w:footnoteReference w:id="79"/>
      </w:r>
      <w:r>
        <w:t xml:space="preserve">  Ms. Wilson also claims that the forecast employed by Mr. Strunk drops too much after 2026.</w:t>
      </w:r>
      <w:r>
        <w:rPr>
          <w:rStyle w:val="FootnoteReference"/>
        </w:rPr>
        <w:footnoteReference w:id="80"/>
      </w:r>
      <w:r>
        <w:t xml:space="preserve">  </w:t>
      </w:r>
    </w:p>
    <w:p w14:paraId="2FD92746" w14:textId="77777777" w:rsidR="005A2A69" w:rsidRDefault="005A2A69" w:rsidP="005A2A69">
      <w:r>
        <w:t xml:space="preserve">Ms. Wilson’s claims are flawed and should be rejected.  First, Ms. Wilson’s criticism impermissibly relies on hindsight, since actual annual </w:t>
      </w:r>
      <w:proofErr w:type="gramStart"/>
      <w:r>
        <w:t>Dolet Hills</w:t>
      </w:r>
      <w:proofErr w:type="gramEnd"/>
      <w:r>
        <w:t xml:space="preserve"> lignite costs from year end 2012 and 2013 were not available to the Company when it made the retrofit decision in early 2012.</w:t>
      </w:r>
      <w:r>
        <w:rPr>
          <w:rStyle w:val="FootnoteReference"/>
        </w:rPr>
        <w:footnoteReference w:id="81"/>
      </w:r>
      <w:r>
        <w:t xml:space="preserve">  The historical information actually available to SWEPCO at the time, however, shows that the budget was in line with actual cost experience and that the budget forecast tracked the historical rise in costs.  In fact, Ms. Wilson’s actual data for 2011 (the one year available to SWEPCO at the time of the retrofit decision) shows </w:t>
      </w:r>
      <w:r>
        <w:rPr>
          <w:b/>
          <w:u w:val="single"/>
        </w:rPr>
        <w:t>lower lignite</w:t>
      </w:r>
      <w:r w:rsidRPr="00213EC8">
        <w:rPr>
          <w:b/>
        </w:rPr>
        <w:t xml:space="preserve"> </w:t>
      </w:r>
      <w:r>
        <w:t>costs than SWEPCO budgeted.</w:t>
      </w:r>
      <w:r>
        <w:rPr>
          <w:rStyle w:val="FootnoteReference"/>
        </w:rPr>
        <w:footnoteReference w:id="82"/>
      </w:r>
    </w:p>
    <w:p w14:paraId="38C46AF7" w14:textId="77777777" w:rsidR="005A2A69" w:rsidRDefault="005A2A69" w:rsidP="005A2A69">
      <w:r>
        <w:t xml:space="preserve">Moreover, Ms. Wilson’s application of the EIA lignite data is flawed in at least three respects.  First, she bases her adjustment to the 2011 lignite budget forecast entirely on Dolet Hill’s 2011 to 2013 actual lignite costs, adjusting the lignite costs in Mr. Strunk’s analysis upwards in every year through 2046 based on the cost differences she identified for those first three years.  The 2011-2013 </w:t>
      </w:r>
      <w:proofErr w:type="gramStart"/>
      <w:r>
        <w:t>time</w:t>
      </w:r>
      <w:r w:rsidR="0057562F">
        <w:t>-</w:t>
      </w:r>
      <w:r w:rsidR="00BE3F57">
        <w:t>frame</w:t>
      </w:r>
      <w:proofErr w:type="gramEnd"/>
      <w:r>
        <w:t>, however, included the period of planned retrofit outages</w:t>
      </w:r>
      <w:r w:rsidR="00BE3F57">
        <w:t>,</w:t>
      </w:r>
      <w:r>
        <w:t xml:space="preserve"> whe</w:t>
      </w:r>
      <w:r w:rsidR="00BE3F57">
        <w:t>n</w:t>
      </w:r>
      <w:r>
        <w:t xml:space="preserve"> the plant was down for extended periods.  As a result, the unit costs of that period are higher than they would be if the fixed costs of the mine’s operation were spread over a larger quantity of delivered lignite, as would be the case in a more normal period.  Thus, Ms. Wilson’s long-term lignite costs are overstated.</w:t>
      </w:r>
      <w:r>
        <w:rPr>
          <w:rStyle w:val="FootnoteReference"/>
        </w:rPr>
        <w:footnoteReference w:id="83"/>
      </w:r>
      <w:r>
        <w:t xml:space="preserve">  </w:t>
      </w:r>
    </w:p>
    <w:p w14:paraId="62486AF5" w14:textId="77777777" w:rsidR="005A2A69" w:rsidRDefault="005A2A69" w:rsidP="005A2A69">
      <w:r>
        <w:t xml:space="preserve">Second, Ms. Wilson adds a land cost component to the lignite costs she extracted from </w:t>
      </w:r>
      <w:r>
        <w:lastRenderedPageBreak/>
        <w:t>the EIA data.  As Mr. Strunk explained,</w:t>
      </w:r>
      <w:r>
        <w:rPr>
          <w:rStyle w:val="FootnoteReference"/>
        </w:rPr>
        <w:footnoteReference w:id="84"/>
      </w:r>
      <w:r>
        <w:t xml:space="preserve"> the total costs paid by SWEPCO, and published by EIA, already include land costs.  So, Ms. Wilson is double counting those costs.  Finally, Ms. Wilson’s criticism of Mr. Strunk’s forecast price after 2026 is also erroneous.  The budget lignite costs for 2026 reflected the single highest delivery of lignite during the entire budget period, sufficient to run the plant at a 100% capacity factor.  Though a delivery level of lignite that high could occur in a single year, Mr. Strunk correctly adjusted the budget after that period to be consistent with the plant’s normal expected operations.  Ms. Wilson, however, used that unrepresentative level of lignite output for the remainder of the study period, thus effectively forcing Dolet Hills to buy enough lignite to run at an unrealistic 100% capacity factor for many years, and accordingly overstating the lignite costs in the retrofit scenario.</w:t>
      </w:r>
      <w:r>
        <w:rPr>
          <w:rStyle w:val="FootnoteReference"/>
        </w:rPr>
        <w:footnoteReference w:id="85"/>
      </w:r>
      <w:r>
        <w:t xml:space="preserve"> </w:t>
      </w:r>
    </w:p>
    <w:p w14:paraId="0F3C220F" w14:textId="77777777" w:rsidR="005A2A69" w:rsidRDefault="005A2A69" w:rsidP="005A2A69">
      <w:r>
        <w:t>As mentioned above, Mr. Strunk prepared a new run of his economic analysis, in which he gave Ms. Wilson’s critique every benefit of the doubt.  He excluded the Oxbow Mine costs from the analysis as she recommends (but consistently on both sides), substituted the SWEPCO CO</w:t>
      </w:r>
      <w:r w:rsidRPr="00CA3137">
        <w:rPr>
          <w:vertAlign w:val="subscript"/>
        </w:rPr>
        <w:t>2</w:t>
      </w:r>
      <w:r>
        <w:t xml:space="preserve"> forecast she prefers, and corrected the errors in her lignite cost forecasts.</w:t>
      </w:r>
      <w:r>
        <w:rPr>
          <w:rStyle w:val="FootnoteReference"/>
        </w:rPr>
        <w:footnoteReference w:id="86"/>
      </w:r>
      <w:r>
        <w:t xml:space="preserve">  The results are shown in SWEPCO Exhibit 75, which is reproduced below.  The analysis continues to show multiple realistic scenarios that support the Dolet Hills retrofit as an economic solution.  Though there are some scenarios (primarily involving the highest carbon price inputs) where economics are less favorable for the retrofits, the range of outcomes continues to support the retrofits as among the reasonable alternatives available to the Dolet Hill plant owners, including SWEPCO.  Viewed in combination with the many other facts and circumstances favoring the retrofit, there is strong evidentiary support for the ALJs’ determination that the retrofit was a prudent decision. </w:t>
      </w:r>
    </w:p>
    <w:p w14:paraId="10F33FE4" w14:textId="77777777" w:rsidR="0032615D" w:rsidRPr="005B6C84" w:rsidRDefault="0032615D" w:rsidP="00B75A84">
      <w:pPr>
        <w:ind w:firstLine="0"/>
        <w:jc w:val="center"/>
      </w:pPr>
      <w:r>
        <w:rPr>
          <w:noProof/>
        </w:rPr>
        <w:lastRenderedPageBreak/>
        <w:drawing>
          <wp:inline distT="0" distB="0" distL="0" distR="0" wp14:anchorId="39C14160" wp14:editId="45F5E0D5">
            <wp:extent cx="5303520" cy="4465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03520" cy="4465320"/>
                    </a:xfrm>
                    <a:prstGeom prst="rect">
                      <a:avLst/>
                    </a:prstGeom>
                  </pic:spPr>
                </pic:pic>
              </a:graphicData>
            </a:graphic>
          </wp:inline>
        </w:drawing>
      </w:r>
    </w:p>
    <w:p w14:paraId="5EE6C845" w14:textId="77777777" w:rsidR="0032615D" w:rsidRPr="007617AA" w:rsidRDefault="0032615D" w:rsidP="0032615D">
      <w:pPr>
        <w:rPr>
          <w:b/>
          <w:i/>
        </w:rPr>
      </w:pPr>
      <w:r w:rsidRPr="007617AA">
        <w:rPr>
          <w:b/>
          <w:i/>
        </w:rPr>
        <w:t>Uncertain Future Environmental Costs</w:t>
      </w:r>
    </w:p>
    <w:p w14:paraId="569DF2FB" w14:textId="77777777" w:rsidR="0032615D" w:rsidRDefault="0032615D" w:rsidP="0032615D">
      <w:r>
        <w:t xml:space="preserve">Sierra Club presents a skewed and misleading picture of the evidence in an attempt to lend credibility to its claim that Mr. Strunk was unreasonable in not including costs for uncertain future environmental retrofit costs in his analysis.  The credible evidence shows that, </w:t>
      </w:r>
      <w:r w:rsidR="00BE3F57">
        <w:t xml:space="preserve">given </w:t>
      </w:r>
      <w:r>
        <w:t xml:space="preserve">the particular </w:t>
      </w:r>
      <w:r w:rsidR="00BE3F57">
        <w:t xml:space="preserve">facts and </w:t>
      </w:r>
      <w:r>
        <w:t xml:space="preserve">circumstances </w:t>
      </w:r>
      <w:r w:rsidR="00BE3F57">
        <w:t xml:space="preserve">surrounding </w:t>
      </w:r>
      <w:r>
        <w:t>Dolet Hills, a reasonable utility manager would have done the same.</w:t>
      </w:r>
    </w:p>
    <w:p w14:paraId="047F60F4" w14:textId="77777777" w:rsidR="0032615D" w:rsidRDefault="0032615D" w:rsidP="0032615D">
      <w:r>
        <w:t>Sierra Club claims that Mr. Strunk’s analysis should have considered the possibility that Dolet Hills would need to add a scrubber to deal with non</w:t>
      </w:r>
      <w:r>
        <w:noBreakHyphen/>
        <w:t>attainment requirements of the NAAQs program or other future environmental compliance requirements.</w:t>
      </w:r>
      <w:r>
        <w:rPr>
          <w:rStyle w:val="FootnoteReference"/>
        </w:rPr>
        <w:footnoteReference w:id="87"/>
      </w:r>
      <w:r>
        <w:t xml:space="preserve">  Clearly, under the facts in this case, a reasonable utility manager could conclude that the requirement to install a </w:t>
      </w:r>
      <w:r>
        <w:lastRenderedPageBreak/>
        <w:t xml:space="preserve">scrubber at Dolet Hills was not a legitimate or credible threat, because Dolet Hills </w:t>
      </w:r>
      <w:r w:rsidRPr="00C87EC2">
        <w:rPr>
          <w:b/>
          <w:u w:val="single"/>
        </w:rPr>
        <w:t>already has a scrubber.</w:t>
      </w:r>
      <w:r>
        <w:t xml:space="preserve">  Ms. Wilson acknowledged this fact, and she provided no basis for a conclusion that the existing scrubber was not sufficient to enable the plant to respond to any potential NAAQs issues.</w:t>
      </w:r>
      <w:r>
        <w:rPr>
          <w:rStyle w:val="FootnoteReference"/>
        </w:rPr>
        <w:footnoteReference w:id="88"/>
      </w:r>
      <w:r>
        <w:t xml:space="preserve">  The LPSC record fragment cited by Sierra Club as supposed evidence of a possible NAAQs compliance issue at Dolet Hills is contradicted by a wealth of evidence showing Dolet Hills has never been in a status of non-attainment that could trigger NAAQs-related requirements.</w:t>
      </w:r>
      <w:r>
        <w:rPr>
          <w:rStyle w:val="FootnoteReference"/>
        </w:rPr>
        <w:footnoteReference w:id="89"/>
      </w:r>
      <w:r>
        <w:t xml:space="preserve">  The LPSC relied on the absence of a non-attainment designation in finding, in Docket No. U-32507, the MATS retrofits were prudent.</w:t>
      </w:r>
      <w:r>
        <w:rPr>
          <w:rStyle w:val="FootnoteReference"/>
        </w:rPr>
        <w:footnoteReference w:id="90"/>
      </w:r>
      <w:r>
        <w:t xml:space="preserve">  </w:t>
      </w:r>
    </w:p>
    <w:p w14:paraId="25B714FC" w14:textId="77777777" w:rsidR="0032615D" w:rsidRDefault="0032615D" w:rsidP="0032615D">
      <w:r>
        <w:t>As for the other environmental programs, Mr. Strunk pointed out that Cleco studied the costs</w:t>
      </w:r>
      <w:r w:rsidRPr="002D55F8">
        <w:t xml:space="preserve"> </w:t>
      </w:r>
      <w:r>
        <w:t>of such programs, based on detailed engineering estimates provided by a national environmental engineering firm,</w:t>
      </w:r>
      <w:r>
        <w:rPr>
          <w:rStyle w:val="FootnoteReference"/>
        </w:rPr>
        <w:footnoteReference w:id="91"/>
      </w:r>
      <w:r>
        <w:t xml:space="preserve"> which amounted to </w:t>
      </w:r>
      <w:r w:rsidR="0028564D">
        <w:t xml:space="preserve">an additional </w:t>
      </w:r>
      <w:r>
        <w:t>$13 million (Cleco’s share)</w:t>
      </w:r>
      <w:r>
        <w:rPr>
          <w:rStyle w:val="FootnoteReference"/>
        </w:rPr>
        <w:footnoteReference w:id="92"/>
      </w:r>
      <w:r>
        <w:t xml:space="preserve"> for E</w:t>
      </w:r>
      <w:r w:rsidR="004E30CB">
        <w:t xml:space="preserve">ffluent </w:t>
      </w:r>
      <w:r>
        <w:t>L</w:t>
      </w:r>
      <w:r w:rsidR="004E30CB">
        <w:t xml:space="preserve">imitation </w:t>
      </w:r>
      <w:r>
        <w:t>G</w:t>
      </w:r>
      <w:r w:rsidR="004E30CB">
        <w:t>uidelines</w:t>
      </w:r>
      <w:r>
        <w:t xml:space="preserve"> and C</w:t>
      </w:r>
      <w:r w:rsidR="004E30CB">
        <w:t xml:space="preserve">oal </w:t>
      </w:r>
      <w:r>
        <w:t>C</w:t>
      </w:r>
      <w:r w:rsidR="004E30CB">
        <w:t xml:space="preserve">ombustion </w:t>
      </w:r>
      <w:r>
        <w:t>R</w:t>
      </w:r>
      <w:r w:rsidR="004E30CB">
        <w:t>esiduals</w:t>
      </w:r>
      <w:r>
        <w:t xml:space="preserve"> retrofits.  </w:t>
      </w:r>
      <w:r w:rsidR="00BE3F57">
        <w:t>The same study found, contrary to Ms. Wilson’s allegations, that there were no other environmental compliance programs that could threaten the operations of Dolet Hills.</w:t>
      </w:r>
      <w:r w:rsidR="00BE3F57">
        <w:rPr>
          <w:rStyle w:val="FootnoteReference"/>
        </w:rPr>
        <w:footnoteReference w:id="93"/>
      </w:r>
      <w:r w:rsidR="00BE3F57">
        <w:t xml:space="preserve">  </w:t>
      </w:r>
      <w:r>
        <w:t xml:space="preserve">Mr. Strunk further concluded, among other things, that once </w:t>
      </w:r>
      <w:r w:rsidR="00BE3F57">
        <w:t>again</w:t>
      </w:r>
      <w:r>
        <w:t>, the level of costs in issue was not material to the outcome of the economic analysis.</w:t>
      </w:r>
      <w:r>
        <w:rPr>
          <w:rStyle w:val="FootnoteReference"/>
        </w:rPr>
        <w:footnoteReference w:id="94"/>
      </w:r>
      <w:r>
        <w:t xml:space="preserve">  In fact, if one were to reduce the present value results of Mr. Strunk’s </w:t>
      </w:r>
      <w:r>
        <w:lastRenderedPageBreak/>
        <w:t>economic analyses by the entire $13 million, it can easily be concluded that such an amount does not materially alter the overall results.</w:t>
      </w:r>
      <w:r>
        <w:rPr>
          <w:rStyle w:val="FootnoteReference"/>
        </w:rPr>
        <w:footnoteReference w:id="95"/>
      </w:r>
      <w:r>
        <w:t xml:space="preserve">  </w:t>
      </w:r>
    </w:p>
    <w:p w14:paraId="7BACBEB1" w14:textId="77777777" w:rsidR="0032615D" w:rsidRDefault="0032615D" w:rsidP="0032615D">
      <w:r>
        <w:t>Finally, Sierra Club completely misunderstands, or misrepresents, Mr. Strunk’s point regarding the option value of completing the retrofits instead of replacing Dolet Hills.</w:t>
      </w:r>
      <w:r>
        <w:rPr>
          <w:rStyle w:val="FootnoteReference"/>
        </w:rPr>
        <w:footnoteReference w:id="96"/>
      </w:r>
      <w:r>
        <w:t xml:space="preserve">  This is an important point, because it provided a compelling basis for choosing the retrofit alternative, regardless of the </w:t>
      </w:r>
      <w:r w:rsidR="00BE3F57">
        <w:t xml:space="preserve">unavoidable </w:t>
      </w:r>
      <w:r>
        <w:t xml:space="preserve">uncertainties associated with any economic analysis of resource planning alternatives.  </w:t>
      </w:r>
    </w:p>
    <w:p w14:paraId="2D1C8084" w14:textId="77777777" w:rsidR="0032615D" w:rsidRPr="00080AA8" w:rsidRDefault="0032615D" w:rsidP="0032615D">
      <w:r>
        <w:t>While Mr. Strunk did include sensitivities regarding future uncertain CO</w:t>
      </w:r>
      <w:r w:rsidRPr="002D099C">
        <w:rPr>
          <w:vertAlign w:val="subscript"/>
        </w:rPr>
        <w:t>2</w:t>
      </w:r>
      <w:r>
        <w:t xml:space="preserve"> costs in his analysis, these costs were potentially very material, unlike the other potential environmental costs discussed above.</w:t>
      </w:r>
      <w:r>
        <w:rPr>
          <w:rStyle w:val="FootnoteReference"/>
        </w:rPr>
        <w:footnoteReference w:id="97"/>
      </w:r>
      <w:r>
        <w:t xml:space="preserve">  Nonetheless, Mr. Strunk ultimately concluded, both for future uncertain CO</w:t>
      </w:r>
      <w:r w:rsidRPr="002D099C">
        <w:rPr>
          <w:vertAlign w:val="subscript"/>
        </w:rPr>
        <w:t>2</w:t>
      </w:r>
      <w:r>
        <w:t xml:space="preserve"> and other environmental costs in general, that the </w:t>
      </w:r>
      <w:r w:rsidRPr="004E30CB">
        <w:t>cost</w:t>
      </w:r>
      <w:r>
        <w:t xml:space="preserve"> of performing the retrofits was </w:t>
      </w:r>
      <w:r w:rsidR="00BE3F57">
        <w:t xml:space="preserve">very </w:t>
      </w:r>
      <w:r>
        <w:t xml:space="preserve">small compared to the large initial costs of replacing </w:t>
      </w:r>
      <w:r w:rsidR="00595ACC">
        <w:t>Dolet Hills with a CCGT</w:t>
      </w:r>
      <w:r>
        <w:t>.  Ms. Wilson agreed that the immediate and short term rate impact associated with a CCGT replacement plant would dwarf the rate impact of doing the retrofits (annual carrying costs alone on the CCGT would outstrip the retrofit costs in just two years).</w:t>
      </w:r>
      <w:r>
        <w:rPr>
          <w:rStyle w:val="FootnoteReference"/>
        </w:rPr>
        <w:footnoteReference w:id="98"/>
      </w:r>
      <w:r>
        <w:t xml:space="preserve">  In such circumstances, a reasonable utility manager could conclude that making the retrofits was a reasonable alternative, in order to maintain optionality and avoid major replacement capital outlays that could prove altogether unnecessary if the future environmental requirements did not materialize.</w:t>
      </w:r>
      <w:r>
        <w:rPr>
          <w:rStyle w:val="FootnoteReference"/>
        </w:rPr>
        <w:footnoteReference w:id="99"/>
      </w:r>
      <w:r>
        <w:t xml:space="preserve">  The ALJs correctly concluded that this was a compelling point supporting the prudence of the retrofit alternative.</w:t>
      </w:r>
      <w:r>
        <w:rPr>
          <w:rStyle w:val="FootnoteReference"/>
        </w:rPr>
        <w:footnoteReference w:id="100"/>
      </w:r>
      <w:r>
        <w:t xml:space="preserve">  </w:t>
      </w:r>
    </w:p>
    <w:p w14:paraId="397B174E" w14:textId="77777777" w:rsidR="00B208CF" w:rsidRDefault="00B208CF" w:rsidP="001E5D10">
      <w:pPr>
        <w:pStyle w:val="Heading3"/>
        <w:keepNext w:val="0"/>
      </w:pPr>
      <w:bookmarkStart w:id="10" w:name="_Toc497123816"/>
      <w:r>
        <w:t>Flint Creek</w:t>
      </w:r>
      <w:bookmarkStart w:id="11" w:name="_Toc485976522"/>
      <w:bookmarkEnd w:id="7"/>
      <w:r>
        <w:t>, Pirkey</w:t>
      </w:r>
      <w:bookmarkStart w:id="12" w:name="_Toc485976523"/>
      <w:bookmarkEnd w:id="11"/>
      <w:r w:rsidR="00A5134E">
        <w:t xml:space="preserve"> and </w:t>
      </w:r>
      <w:r>
        <w:t>Welsh Units 1 &amp; 3</w:t>
      </w:r>
      <w:bookmarkEnd w:id="10"/>
      <w:bookmarkEnd w:id="12"/>
    </w:p>
    <w:p w14:paraId="4239CC86" w14:textId="77777777" w:rsidR="00531307" w:rsidRPr="000265F8" w:rsidRDefault="00531307" w:rsidP="00531307">
      <w:r w:rsidRPr="000265F8">
        <w:t>Since the close of its most recent base rate case test year, SWEPCO has invested nearly $700 million in capital upgrades at four of its solid fuel generating plants</w:t>
      </w:r>
      <w:r w:rsidRPr="000265F8">
        <w:rPr>
          <w:vertAlign w:val="superscript"/>
        </w:rPr>
        <w:footnoteReference w:id="101"/>
      </w:r>
      <w:r w:rsidRPr="000265F8">
        <w:t xml:space="preserve"> to enable continued </w:t>
      </w:r>
      <w:r w:rsidRPr="000265F8">
        <w:lastRenderedPageBreak/>
        <w:t xml:space="preserve">operation of those facilities in compliance with regulations promulgated by the United States Environmental Protection Agency (EPA).  </w:t>
      </w:r>
      <w:r>
        <w:t>A</w:t>
      </w:r>
      <w:r w:rsidRPr="000265F8">
        <w:t xml:space="preserve"> number of EPA regulations contributed to the requirement that SWEPCO further control emissions from its solid fuel generation fleet.  The intersection of these federal rules and standards created a complex and evolving landscape for SWEPCO regarding the management of its generation fleet.  Doing nothing was not an option.  Faced with these challenges, SWEPCO managed its environmental and financial risk by choosing to retrofit a total of five generating units at four facilities and to retire one unit – SWEPCO’s Welsh Unit 2.</w:t>
      </w:r>
    </w:p>
    <w:p w14:paraId="3E680B91" w14:textId="77777777" w:rsidR="00531307" w:rsidRDefault="00531307" w:rsidP="00531307">
      <w:r w:rsidRPr="000265F8">
        <w:t xml:space="preserve">SWEPCO was not alone in facing this onslaught of new and evolving environmental demands.  In June 2011, American Electric Power Company, Inc. (AEP), on behalf of SWEPCO and the other AEP operating companies announced the AEP system-wide generation </w:t>
      </w:r>
      <w:r>
        <w:t xml:space="preserve">environmental </w:t>
      </w:r>
      <w:r w:rsidRPr="000265F8">
        <w:t>compliance plan, which included both retrofits and retirements across the AEP system.  In total, AEP’s system-wide compliance plan included the retirement of nearly 6,000 megawatts (MW) of coal</w:t>
      </w:r>
      <w:r w:rsidRPr="000265F8">
        <w:noBreakHyphen/>
        <w:t>fired generation and the retrofit of another 10,000 MW of coal-fired generation.  By no means has the experience of SWEPCO and its sister AEP companies been unique, with retrofits and retirements of coal-fired generation facilities being announced at that time, and executed across the country.</w:t>
      </w:r>
      <w:r w:rsidRPr="000265F8">
        <w:rPr>
          <w:vertAlign w:val="superscript"/>
        </w:rPr>
        <w:footnoteReference w:id="102"/>
      </w:r>
    </w:p>
    <w:p w14:paraId="3890A02E" w14:textId="77777777" w:rsidR="00454537" w:rsidRPr="00454537" w:rsidRDefault="00454537" w:rsidP="00454537">
      <w:r w:rsidRPr="00454537">
        <w:t>On SWEPCO’s decisions concerning the Flint Creek, Pirkey and Welsh Unit 1 &amp; 3 retrofits, the PFD found that:</w:t>
      </w:r>
    </w:p>
    <w:p w14:paraId="1F5DCAC5" w14:textId="77777777" w:rsidR="00454537" w:rsidRDefault="00454537" w:rsidP="00454537">
      <w:pPr>
        <w:spacing w:line="240" w:lineRule="auto"/>
        <w:ind w:left="720" w:right="720" w:firstLine="0"/>
      </w:pPr>
      <w:r w:rsidRPr="00454537">
        <w:t>SWEPCO met its burden to show it acted as a reasonable utility manager under the circumstances, and it selected a prudent option among a range of prudent choices (retrofits and retirements) afier conducting robust examinations of the regulatory impacts, commodity price trends, and other relevant factors. The ALJs recommend the Commission reject the disallowances suggested by OPUC and Sierra Club.</w:t>
      </w:r>
      <w:r w:rsidR="001D1B55">
        <w:rPr>
          <w:rStyle w:val="FootnoteReference"/>
        </w:rPr>
        <w:footnoteReference w:id="103"/>
      </w:r>
      <w:r w:rsidRPr="00454537">
        <w:t xml:space="preserve"> </w:t>
      </w:r>
    </w:p>
    <w:p w14:paraId="6C38BB09" w14:textId="77777777" w:rsidR="00420FF3" w:rsidRPr="00454537" w:rsidRDefault="00420FF3" w:rsidP="00454537">
      <w:pPr>
        <w:spacing w:line="240" w:lineRule="auto"/>
        <w:ind w:left="720" w:right="720" w:firstLine="0"/>
      </w:pPr>
    </w:p>
    <w:p w14:paraId="576C2F72" w14:textId="77777777" w:rsidR="00454537" w:rsidRPr="00454537" w:rsidRDefault="00454537" w:rsidP="00454537">
      <w:r w:rsidRPr="00454537">
        <w:t xml:space="preserve">The credible evidence overwhelmingly supports the PFD’s finding and refutes OPUC’s and Sierra Club’s exceptions which rely on discredited and factually erroneous arguments that in no way call into question the prudence of SWEPCO’s evaluation processes and ultimate </w:t>
      </w:r>
      <w:r w:rsidRPr="00454537">
        <w:lastRenderedPageBreak/>
        <w:t xml:space="preserve">decisions. </w:t>
      </w:r>
    </w:p>
    <w:p w14:paraId="6C6506E5" w14:textId="77777777" w:rsidR="00531307" w:rsidRDefault="00531307" w:rsidP="00531307">
      <w:r w:rsidRPr="000C3350">
        <w:t xml:space="preserve">The prudence of this significant investment in </w:t>
      </w:r>
      <w:r>
        <w:t xml:space="preserve">Flint Creek, Pirkey, and Welsh Units 1 and 3 </w:t>
      </w:r>
      <w:r w:rsidRPr="000C3350">
        <w:t xml:space="preserve">is supported by six witnesses, including Ms. McCellon-Allen, who is SWEPCO’s President and Chief Operating Officer and addresses in her direct testimony the complex set of circumstances that informed the decision to retrofit these plants.  Also supporting the prudence of this investment are SWEPCO witnesses John C. Hendricks and Michael J. Nasi, who address the known and </w:t>
      </w:r>
      <w:r>
        <w:t>then-</w:t>
      </w:r>
      <w:r w:rsidRPr="000C3350">
        <w:t xml:space="preserve">emerging environmental rules, regulations, and laws that created the need to manage emissions from SWEPCO’s solid fuel generation fleet.  SWEPCO witness </w:t>
      </w:r>
      <w:r>
        <w:t xml:space="preserve">Mark </w:t>
      </w:r>
      <w:r w:rsidRPr="000C3350">
        <w:t>Becker presents the economic analyses that were considered by SWEPCO when evaluating its options to manage emissions from its solid fuel generation fleet.  SWEPCO witness Mr. Bletzacker supports the fundamental commodity price forecast</w:t>
      </w:r>
      <w:r>
        <w:t>s</w:t>
      </w:r>
      <w:r w:rsidRPr="000C3350">
        <w:t xml:space="preserve"> used in those analyses.  In addition, SWEPCO witness Franklin R. Pifer supports the prudence of the retrofit investment by addressing SWEPCO’s selection of emissions control equipment and installation of that equipment, as well as the prudent project management and construction practices employed in completing the retrofits.</w:t>
      </w:r>
      <w:r>
        <w:t xml:space="preserve">  The exceptions of Sierra Club and OPUC ignore the bulk of this evidence, which supports the decision to retrofit Flint Creek, Pirkey, and Welsh Units 1 and 3.</w:t>
      </w:r>
    </w:p>
    <w:p w14:paraId="7AC68143" w14:textId="77777777" w:rsidR="00531307" w:rsidRPr="008711EB" w:rsidRDefault="00531307" w:rsidP="00531307">
      <w:r w:rsidRPr="008711EB">
        <w:t xml:space="preserve">The Sierra Club and OPUC challenge </w:t>
      </w:r>
      <w:r>
        <w:t xml:space="preserve">only a handful of inputs into the </w:t>
      </w:r>
      <w:r w:rsidRPr="008711EB">
        <w:t xml:space="preserve">unit disposition analyses </w:t>
      </w:r>
      <w:r>
        <w:t xml:space="preserve">sponsored by Mr. Becker </w:t>
      </w:r>
      <w:r w:rsidRPr="008711EB">
        <w:t xml:space="preserve">that are </w:t>
      </w:r>
      <w:r>
        <w:t xml:space="preserve">a </w:t>
      </w:r>
      <w:r w:rsidRPr="008711EB">
        <w:t>part of the support for the decision to retrofit Flint Creek, Pirkey, and Welsh Units 1 and 3.  This series of monthly economic analyses, beginning in January 2011 through May 2011 (</w:t>
      </w:r>
      <w:r w:rsidR="00473EE0">
        <w:t>e</w:t>
      </w:r>
      <w:r w:rsidRPr="008711EB">
        <w:t>arly 2011 analyses) provided the economic comparisons of various retrofit</w:t>
      </w:r>
      <w:r w:rsidR="00B75A84">
        <w:t xml:space="preserve"> or </w:t>
      </w:r>
      <w:r w:rsidRPr="008711EB">
        <w:t>retire alternatives that aided the Company in deciding the future disposition of those units.  The unit disposition studies included the reasonable projected operating and capital costs of the alternatives studied, as well as varying assumptions on the timing and amount of retrofit capital that reasonably reflected the uncertainty regarding the timing and evolution of the various environmental programs in play.</w:t>
      </w:r>
      <w:r w:rsidRPr="008711EB">
        <w:rPr>
          <w:vertAlign w:val="superscript"/>
        </w:rPr>
        <w:footnoteReference w:id="104"/>
      </w:r>
      <w:r w:rsidRPr="008711EB">
        <w:t xml:space="preserve">  Multiple commodity price forecasts were employed in each set of analyses so that the unit disposition alternatives (</w:t>
      </w:r>
      <w:r w:rsidRPr="008711EB">
        <w:rPr>
          <w:i/>
        </w:rPr>
        <w:t>i.e</w:t>
      </w:r>
      <w:r w:rsidRPr="008711EB">
        <w:t>. unit retrofit, or unit retirement and replacement) could be evaluated under a range of commodity price assumptions.  These included sensitivities for future gas prices, market energy prices, CO</w:t>
      </w:r>
      <w:r w:rsidRPr="008711EB">
        <w:rPr>
          <w:vertAlign w:val="subscript"/>
        </w:rPr>
        <w:t>2</w:t>
      </w:r>
      <w:r w:rsidRPr="008711EB">
        <w:t xml:space="preserve"> prices, and other </w:t>
      </w:r>
      <w:r w:rsidRPr="008711EB">
        <w:lastRenderedPageBreak/>
        <w:t>commodity inputs.</w:t>
      </w:r>
      <w:r w:rsidRPr="008711EB">
        <w:rPr>
          <w:vertAlign w:val="superscript"/>
        </w:rPr>
        <w:footnoteReference w:id="105"/>
      </w:r>
    </w:p>
    <w:p w14:paraId="2C59F422" w14:textId="77777777" w:rsidR="00531307" w:rsidRDefault="00531307" w:rsidP="00531307">
      <w:r>
        <w:t xml:space="preserve">Instead of addressing the totality of the evidence that supports the decision to retrofit Flint Creek, Pirkey, and Welsh Units 1 and 3, </w:t>
      </w:r>
      <w:r w:rsidRPr="008711EB">
        <w:t xml:space="preserve">Sierra Club and OPUC </w:t>
      </w:r>
      <w:r w:rsidR="006949C8">
        <w:t xml:space="preserve">raise </w:t>
      </w:r>
      <w:r w:rsidRPr="008711EB">
        <w:t xml:space="preserve">inaccurate and </w:t>
      </w:r>
      <w:r>
        <w:t xml:space="preserve">baseless </w:t>
      </w:r>
      <w:r w:rsidRPr="008711EB">
        <w:t>allegations about a handful of inputs to the process.  Sierra Club’s position was presented by its witness Ms. Rachel Wilson, who has testified almost exclusively on behalf of Sierra Club, whose consulting firm is funded in part by Sierra Club, and who has never in her career testified in support of an environmental retrofit over a plant retirement.</w:t>
      </w:r>
      <w:r w:rsidRPr="008711EB">
        <w:rPr>
          <w:vertAlign w:val="superscript"/>
        </w:rPr>
        <w:footnoteReference w:id="106"/>
      </w:r>
      <w:r w:rsidRPr="008711EB">
        <w:t xml:space="preserve">  Ms. Wilson leveled several inaccurate accusations regarding the natural gas price projections and emissions control costs that were studied in the unit disposition analyses.  These inaccurate accusations were identified and refuted in the testimonies of SWEPCO witnesses Messrs. Becker and Bletzac</w:t>
      </w:r>
      <w:r w:rsidR="00B75A84">
        <w:t>k</w:t>
      </w:r>
      <w:r w:rsidRPr="008711EB">
        <w:t xml:space="preserve">er.  Undaunted by Ms. Wilson’s obvious mistakes, Sierra Club has chosen to enthusiastically repeat these refuted accusations in its </w:t>
      </w:r>
      <w:r>
        <w:t>exceptions</w:t>
      </w:r>
      <w:r w:rsidRPr="008711EB">
        <w:t>.</w:t>
      </w:r>
    </w:p>
    <w:p w14:paraId="11F77B85" w14:textId="77777777" w:rsidR="00531307" w:rsidRPr="008711EB" w:rsidRDefault="00531307" w:rsidP="00531307">
      <w:r w:rsidRPr="008711EB">
        <w:t>Over the January through May 2011 timeframe, for each of the three plants</w:t>
      </w:r>
      <w:r>
        <w:t xml:space="preserve"> – Flint Creek, Pirkey, and Welsh Units 1 and 3 – SWEPCO </w:t>
      </w:r>
      <w:r w:rsidRPr="008711EB">
        <w:t xml:space="preserve">performed about 15 different unit disposition analyses based on the varied assumptions discussed above.  </w:t>
      </w:r>
      <w:r>
        <w:t>Tellingly, n</w:t>
      </w:r>
      <w:r w:rsidRPr="008711EB">
        <w:t>either Sierra Club nor OPUC present their own unit disposition analyses (or any type of comprehensive economic calculation) that show that retirement of any of these plants was the better path forward for customers.</w:t>
      </w:r>
      <w:r>
        <w:t xml:space="preserve">  The substantial economic support for SWEPCO’s decision to retrofit these units may be best understood by review of the tables presented in Mr. Becker’s testimony, which were reproduced on pages 53 and 54 of the PFD.</w:t>
      </w:r>
    </w:p>
    <w:p w14:paraId="5E4A5583" w14:textId="77777777" w:rsidR="00531307" w:rsidRPr="000265F8" w:rsidRDefault="00531307" w:rsidP="00531307">
      <w:r w:rsidRPr="000265F8">
        <w:t xml:space="preserve">Table 5 to Mr. Becker’s direct testimony provides a summary of the economics of installing various Welsh Unit 1 and 3 environmental retrofits versus retirement of the Welsh Units 1 and 3, under the spectrum of commodity price forecasts used in the Early 2011 analyses.  These unit disposition options are compared on a Cumulative Present Worth of annual revenue requirements (CPWRR) basis over the 2011 through 2040 time period.  Table 5 shows that under </w:t>
      </w:r>
      <w:r w:rsidRPr="000265F8">
        <w:rPr>
          <w:b/>
          <w:i/>
        </w:rPr>
        <w:t>all commodity price assumptions but for one</w:t>
      </w:r>
      <w:r w:rsidRPr="000265F8">
        <w:t xml:space="preserve">, the Welsh Unit 1 and 3 retrofits CPWRR savings </w:t>
      </w:r>
      <w:r w:rsidRPr="000265F8">
        <w:lastRenderedPageBreak/>
        <w:t>over retirement of all three units ranged between $182 million and approximately $1.2 billion.</w:t>
      </w:r>
      <w:r w:rsidRPr="000265F8">
        <w:rPr>
          <w:vertAlign w:val="superscript"/>
        </w:rPr>
        <w:footnoteReference w:id="107"/>
      </w:r>
    </w:p>
    <w:p w14:paraId="64BF6545" w14:textId="77777777" w:rsidR="00531307" w:rsidRPr="000265F8" w:rsidRDefault="00531307" w:rsidP="00B75A84">
      <w:pPr>
        <w:ind w:firstLine="0"/>
        <w:jc w:val="center"/>
      </w:pPr>
      <w:r w:rsidRPr="000265F8">
        <w:rPr>
          <w:noProof/>
        </w:rPr>
        <w:drawing>
          <wp:inline distT="0" distB="0" distL="0" distR="0" wp14:anchorId="04BF26DF" wp14:editId="3442E42C">
            <wp:extent cx="4076700" cy="3041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0" cy="3041650"/>
                    </a:xfrm>
                    <a:prstGeom prst="rect">
                      <a:avLst/>
                    </a:prstGeom>
                    <a:noFill/>
                    <a:ln>
                      <a:noFill/>
                    </a:ln>
                  </pic:spPr>
                </pic:pic>
              </a:graphicData>
            </a:graphic>
          </wp:inline>
        </w:drawing>
      </w:r>
    </w:p>
    <w:p w14:paraId="1D9CEA60" w14:textId="77777777" w:rsidR="00531307" w:rsidRPr="000265F8" w:rsidRDefault="00531307" w:rsidP="00531307">
      <w:pPr>
        <w:spacing w:before="180"/>
      </w:pPr>
      <w:r w:rsidRPr="000265F8">
        <w:t xml:space="preserve">Table 9 in Mr. Becker’s direct testimony provides a summary of the economics of installing Flint Creek environmental retrofits versus retirement and replacement with 300 MW combined cycle natural gas-fired plant under the range of commodity price forecasts used in the Early 2011 unit disposition analyses.  Table 9 shows that under </w:t>
      </w:r>
      <w:r w:rsidRPr="000265F8">
        <w:rPr>
          <w:b/>
          <w:i/>
        </w:rPr>
        <w:t>all commodity price assumptions but for one</w:t>
      </w:r>
      <w:r w:rsidRPr="000265F8">
        <w:t>, the Flint Creek retrofit CPWRR savings over retirement ranged between $15 a</w:t>
      </w:r>
      <w:r>
        <w:t>nd approximately $316 million.</w:t>
      </w:r>
    </w:p>
    <w:p w14:paraId="27D82457" w14:textId="77777777" w:rsidR="00531307" w:rsidRPr="000265F8" w:rsidRDefault="00531307" w:rsidP="00B75A84">
      <w:pPr>
        <w:ind w:firstLine="0"/>
        <w:jc w:val="center"/>
      </w:pPr>
      <w:r w:rsidRPr="000265F8">
        <w:rPr>
          <w:noProof/>
        </w:rPr>
        <w:lastRenderedPageBreak/>
        <w:drawing>
          <wp:inline distT="0" distB="0" distL="0" distR="0" wp14:anchorId="05383771" wp14:editId="58B39A27">
            <wp:extent cx="4127500" cy="3009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7500" cy="3009900"/>
                    </a:xfrm>
                    <a:prstGeom prst="rect">
                      <a:avLst/>
                    </a:prstGeom>
                    <a:noFill/>
                    <a:ln>
                      <a:noFill/>
                    </a:ln>
                  </pic:spPr>
                </pic:pic>
              </a:graphicData>
            </a:graphic>
          </wp:inline>
        </w:drawing>
      </w:r>
    </w:p>
    <w:p w14:paraId="29F6F1AD" w14:textId="77777777" w:rsidR="00531307" w:rsidRPr="000265F8" w:rsidRDefault="00531307" w:rsidP="00531307">
      <w:pPr>
        <w:spacing w:before="180"/>
      </w:pPr>
      <w:r w:rsidRPr="000265F8">
        <w:t xml:space="preserve">Table 12 to Mr. Becker’s direct testimony provides a summary of the economics of installing various Pirkey environmental retrofits versus retirement, under the range of commodity price forecasts used in the Early 2011 unit disposition analyses.  Table 12 shows that under </w:t>
      </w:r>
      <w:r w:rsidRPr="000265F8">
        <w:rPr>
          <w:b/>
          <w:i/>
        </w:rPr>
        <w:t>all commodity price assumptions</w:t>
      </w:r>
      <w:r w:rsidRPr="000265F8">
        <w:t>, the Pirkey retrofit CPWRR savings over retirement ranged between $67 million and approximately $729 million.</w:t>
      </w:r>
    </w:p>
    <w:p w14:paraId="01A24C0C" w14:textId="77777777" w:rsidR="00531307" w:rsidRPr="000265F8" w:rsidRDefault="00531307" w:rsidP="00B75A84">
      <w:pPr>
        <w:ind w:firstLine="0"/>
        <w:jc w:val="center"/>
      </w:pPr>
      <w:r w:rsidRPr="000265F8">
        <w:rPr>
          <w:noProof/>
        </w:rPr>
        <w:drawing>
          <wp:inline distT="0" distB="0" distL="0" distR="0" wp14:anchorId="7D2DBB88" wp14:editId="5E8049CA">
            <wp:extent cx="4127500" cy="30289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7500" cy="3028950"/>
                    </a:xfrm>
                    <a:prstGeom prst="rect">
                      <a:avLst/>
                    </a:prstGeom>
                    <a:noFill/>
                    <a:ln>
                      <a:noFill/>
                    </a:ln>
                  </pic:spPr>
                </pic:pic>
              </a:graphicData>
            </a:graphic>
          </wp:inline>
        </w:drawing>
      </w:r>
    </w:p>
    <w:p w14:paraId="4A4C25CD" w14:textId="77777777" w:rsidR="00531307" w:rsidRPr="00D63BFF" w:rsidRDefault="00531307" w:rsidP="000E3B55">
      <w:pPr>
        <w:rPr>
          <w:rFonts w:eastAsiaTheme="majorEastAsia"/>
        </w:rPr>
      </w:pPr>
      <w:bookmarkStart w:id="13" w:name="_Toc488315381"/>
      <w:r w:rsidRPr="00D63BFF">
        <w:rPr>
          <w:rFonts w:eastAsiaTheme="majorEastAsia"/>
        </w:rPr>
        <w:lastRenderedPageBreak/>
        <w:t>After the Early 2011 analyses, the Welsh Unit 1 and 3, Flint Creek and Pirkey unit disposition analyses were conducted again at various points in time over the next several years.  These additional analyses were conducted under updated assumptions regarding SWEPCO’s load forecast, commodity price forecasts, and capital cost assumptions for environmental retrofits and replacement capacity.  These analyses were conducted in order to verify that the earlier decision to install the environmental retrofits and continue to operate those units continued to be a reasonable course of action for SWEPCO’s customers.</w:t>
      </w:r>
      <w:r w:rsidRPr="00D63BFF">
        <w:rPr>
          <w:rFonts w:eastAsiaTheme="majorEastAsia"/>
          <w:vertAlign w:val="superscript"/>
        </w:rPr>
        <w:footnoteReference w:id="108"/>
      </w:r>
    </w:p>
    <w:p w14:paraId="66530136" w14:textId="77777777" w:rsidR="00531307" w:rsidRPr="001A0743" w:rsidRDefault="00531307" w:rsidP="000E3B55">
      <w:pPr>
        <w:rPr>
          <w:rFonts w:eastAsiaTheme="majorEastAsia"/>
        </w:rPr>
      </w:pPr>
      <w:r>
        <w:rPr>
          <w:rFonts w:eastAsiaTheme="majorEastAsia"/>
        </w:rPr>
        <w:t>Rather than addressing this evidence in any comprehensive way, the Sierra Club levels four unsupported allegations at specific inputs to the analysis.  OPUC joins in two of these allegations.  SWEPCO briefly addresses each below.</w:t>
      </w:r>
    </w:p>
    <w:p w14:paraId="196274D2" w14:textId="77777777" w:rsidR="00531307" w:rsidRPr="00473EE0" w:rsidRDefault="00531307" w:rsidP="000E3B55">
      <w:pPr>
        <w:rPr>
          <w:rFonts w:eastAsiaTheme="majorEastAsia"/>
          <w:b/>
          <w:i/>
        </w:rPr>
      </w:pPr>
      <w:r w:rsidRPr="00473EE0">
        <w:rPr>
          <w:rFonts w:eastAsiaTheme="majorEastAsia"/>
          <w:b/>
          <w:i/>
        </w:rPr>
        <w:t>Natural Gas Prices</w:t>
      </w:r>
      <w:bookmarkEnd w:id="13"/>
    </w:p>
    <w:p w14:paraId="71286DF5" w14:textId="77777777" w:rsidR="00531307" w:rsidRDefault="00531307" w:rsidP="000E3B55">
      <w:r>
        <w:rPr>
          <w:b/>
        </w:rPr>
        <w:t xml:space="preserve">Sierra Club Allegation:  </w:t>
      </w:r>
      <w:r>
        <w:t>SWEPCO “ignored” falling gas price forecasts and an “expectation” that prices would continue to stay low.</w:t>
      </w:r>
    </w:p>
    <w:p w14:paraId="370F4FC2" w14:textId="77777777" w:rsidR="00531307" w:rsidRPr="004E2890" w:rsidRDefault="00531307" w:rsidP="000E3B55">
      <w:r>
        <w:rPr>
          <w:b/>
        </w:rPr>
        <w:t xml:space="preserve">But the Evidence Demonstrates:  </w:t>
      </w:r>
      <w:r>
        <w:t>SWEPCO was well aware of the factors driving near-term gas prices and long-term forecasts and took those factors into account in the development of the long-term forecasts used in the analyses.</w:t>
      </w:r>
    </w:p>
    <w:p w14:paraId="617393C6" w14:textId="77777777" w:rsidR="00531307" w:rsidRPr="008711EB" w:rsidRDefault="00531307" w:rsidP="000E3B55">
      <w:r w:rsidRPr="008711EB">
        <w:t>Sierra Club writes that SWEPCO “ignored” evidence of falling gas price forecasts and “disregarded” expectations that gas prices would remain low.</w:t>
      </w:r>
      <w:r w:rsidRPr="008711EB">
        <w:rPr>
          <w:vertAlign w:val="superscript"/>
        </w:rPr>
        <w:footnoteReference w:id="109"/>
      </w:r>
      <w:r w:rsidRPr="008711EB">
        <w:t xml:space="preserve">  These allegations are simply untrue.  The evidence establishes that A</w:t>
      </w:r>
      <w:r>
        <w:t xml:space="preserve">EP’s </w:t>
      </w:r>
      <w:r w:rsidRPr="008711EB">
        <w:t xml:space="preserve">Fundamentals Group performed a thorough and timely evaluation of the fundamental factors that affect long-term gas prices in the development of the </w:t>
      </w:r>
      <w:r>
        <w:t xml:space="preserve">variety of </w:t>
      </w:r>
      <w:r w:rsidRPr="008711EB">
        <w:t>AEP long-term forecast of natural gas prices</w:t>
      </w:r>
      <w:r>
        <w:t xml:space="preserve"> used in the unit disposition analyses</w:t>
      </w:r>
      <w:r w:rsidRPr="008711EB">
        <w:t>.</w:t>
      </w:r>
    </w:p>
    <w:p w14:paraId="29F90C04" w14:textId="77777777" w:rsidR="00531307" w:rsidRPr="008711EB" w:rsidRDefault="00531307" w:rsidP="00531307">
      <w:r w:rsidRPr="008711EB">
        <w:t xml:space="preserve">The AEPSC </w:t>
      </w:r>
      <w:r>
        <w:t xml:space="preserve">fundamentals </w:t>
      </w:r>
      <w:r w:rsidRPr="008711EB">
        <w:t xml:space="preserve">forecast is a long-term, weather-normalized power market forecast.  It is distributed ubiquitously across all AEP operating companies after completion.  The forecasts were not developed specifically for the unit disposition studies or any particular regulatory proceeding.  Instead, the forecasts are generally used throughout the AEP system, </w:t>
      </w:r>
      <w:r>
        <w:t xml:space="preserve">for </w:t>
      </w:r>
      <w:r w:rsidRPr="008711EB">
        <w:t xml:space="preserve">purposes including capital improvement analyses, strategic planning, and fixed asset impairment </w:t>
      </w:r>
      <w:r w:rsidRPr="008711EB">
        <w:lastRenderedPageBreak/>
        <w:t>accounting.</w:t>
      </w:r>
      <w:r w:rsidRPr="008711EB">
        <w:rPr>
          <w:vertAlign w:val="superscript"/>
        </w:rPr>
        <w:footnoteReference w:id="110"/>
      </w:r>
      <w:r w:rsidRPr="008711EB">
        <w:t xml:space="preserve"> </w:t>
      </w:r>
    </w:p>
    <w:p w14:paraId="524EBD4F" w14:textId="77777777" w:rsidR="00531307" w:rsidRPr="008711EB" w:rsidRDefault="00531307" w:rsidP="00531307">
      <w:pPr>
        <w:rPr>
          <w:bCs/>
        </w:rPr>
      </w:pPr>
      <w:r w:rsidRPr="008711EB">
        <w:t xml:space="preserve">While Sierra Club and OPUC both claim the Fundamentals Group “ignored” or “disregarded” relatively low gas prices, the actual evidence shows that the Fundamentals Group </w:t>
      </w:r>
      <w:r w:rsidRPr="008711EB">
        <w:rPr>
          <w:b/>
          <w:i/>
        </w:rPr>
        <w:t xml:space="preserve">expressly considered </w:t>
      </w:r>
      <w:r w:rsidRPr="008711EB">
        <w:t>this factor in the development of its long-term forecast.</w:t>
      </w:r>
      <w:r w:rsidRPr="008711EB">
        <w:rPr>
          <w:vertAlign w:val="superscript"/>
        </w:rPr>
        <w:footnoteReference w:id="111"/>
      </w:r>
      <w:r w:rsidRPr="008711EB">
        <w:t xml:space="preserve">  Specifically, i</w:t>
      </w:r>
      <w:r w:rsidRPr="008711EB">
        <w:rPr>
          <w:bCs/>
        </w:rPr>
        <w:t>n 2011, the AEPSC fundamentals forecast concluded that there were four major driving forces that shape the long-term outlook for natural gas:</w:t>
      </w:r>
    </w:p>
    <w:p w14:paraId="31C160F5" w14:textId="77777777" w:rsidR="00531307" w:rsidRPr="008711EB" w:rsidRDefault="00531307" w:rsidP="00B75A84">
      <w:pPr>
        <w:spacing w:line="240" w:lineRule="auto"/>
        <w:ind w:left="720" w:right="720" w:firstLine="0"/>
      </w:pPr>
      <w:r w:rsidRPr="008711EB">
        <w:rPr>
          <w:b/>
          <w:u w:val="single"/>
        </w:rPr>
        <w:t>Abundant, relatively low-cost natural gas supplies</w:t>
      </w:r>
      <w:r w:rsidRPr="008711EB">
        <w:t>:  Natural gas reserves and productive capacity will continue to grow domestically and globally as shale gas extraction technology becomes widespread.  Despite current negative reaction, the environmental impacts of shale gas development will ultimately be manageable.</w:t>
      </w:r>
    </w:p>
    <w:p w14:paraId="62B16800" w14:textId="77777777" w:rsidR="00531307" w:rsidRPr="008711EB" w:rsidRDefault="00531307" w:rsidP="00B75A84">
      <w:pPr>
        <w:spacing w:line="240" w:lineRule="auto"/>
        <w:ind w:left="720" w:right="720" w:firstLine="0"/>
      </w:pPr>
    </w:p>
    <w:p w14:paraId="4AEFAF67" w14:textId="77777777" w:rsidR="00531307" w:rsidRPr="008711EB" w:rsidRDefault="00531307" w:rsidP="00B75A84">
      <w:pPr>
        <w:spacing w:line="240" w:lineRule="auto"/>
        <w:ind w:left="720" w:right="720" w:firstLine="0"/>
      </w:pPr>
      <w:r w:rsidRPr="008711EB">
        <w:rPr>
          <w:b/>
          <w:u w:val="single"/>
        </w:rPr>
        <w:t>An increased demand for natural gas</w:t>
      </w:r>
      <w:r w:rsidRPr="008711EB">
        <w:rPr>
          <w:u w:val="single"/>
        </w:rPr>
        <w:t>:</w:t>
      </w:r>
      <w:r w:rsidRPr="008711EB">
        <w:t xml:space="preserve">   An increased demand for natural gas to fuel new and existing electric generation in the future is a near certainty.</w:t>
      </w:r>
    </w:p>
    <w:p w14:paraId="6828CF5E" w14:textId="77777777" w:rsidR="00531307" w:rsidRPr="008711EB" w:rsidRDefault="00531307" w:rsidP="00B75A84">
      <w:pPr>
        <w:spacing w:line="240" w:lineRule="auto"/>
        <w:ind w:left="720" w:right="720" w:firstLine="0"/>
      </w:pPr>
    </w:p>
    <w:p w14:paraId="00A837E6" w14:textId="77777777" w:rsidR="00531307" w:rsidRPr="008711EB" w:rsidRDefault="00531307" w:rsidP="00B75A84">
      <w:pPr>
        <w:spacing w:line="240" w:lineRule="auto"/>
        <w:ind w:left="720" w:right="720" w:firstLine="0"/>
      </w:pPr>
      <w:r w:rsidRPr="008711EB">
        <w:rPr>
          <w:b/>
          <w:u w:val="single"/>
        </w:rPr>
        <w:t>Natural gas pipeline capacity will keep pace with the evolving locations of supply and consumption</w:t>
      </w:r>
      <w:r w:rsidRPr="008711EB">
        <w:t xml:space="preserve">:  The extensive domestic natural gas transportation infrastructure is sufficiently robust to overcome constraints through existing capacity expansions, flow reversals and new construction.  </w:t>
      </w:r>
    </w:p>
    <w:p w14:paraId="50751180" w14:textId="77777777" w:rsidR="00531307" w:rsidRPr="008711EB" w:rsidRDefault="00531307" w:rsidP="00B75A84">
      <w:pPr>
        <w:spacing w:line="240" w:lineRule="auto"/>
        <w:ind w:left="720" w:right="720" w:firstLine="0"/>
      </w:pPr>
    </w:p>
    <w:p w14:paraId="362D3604" w14:textId="77777777" w:rsidR="00531307" w:rsidRPr="008711EB" w:rsidRDefault="00531307" w:rsidP="00B75A84">
      <w:pPr>
        <w:spacing w:line="240" w:lineRule="auto"/>
        <w:ind w:left="720" w:right="720" w:firstLine="0"/>
      </w:pPr>
      <w:r w:rsidRPr="008711EB">
        <w:rPr>
          <w:b/>
          <w:u w:val="single"/>
        </w:rPr>
        <w:t>The role of natural gas spans many sectors of the economy</w:t>
      </w:r>
      <w:r w:rsidRPr="008711EB">
        <w:t xml:space="preserve">:  Demand for natural gas in the expanding global economy will increase as electric generation, residential/commercial space heating and industrial processes are all advantaged with lower natural gas prices.  However, the prospect of LNG </w:t>
      </w:r>
      <w:proofErr w:type="gramStart"/>
      <w:r w:rsidRPr="008711EB">
        <w:t>export,</w:t>
      </w:r>
      <w:proofErr w:type="gramEnd"/>
      <w:r w:rsidRPr="008711EB">
        <w:t xml:space="preserve"> compressed or liquefied natural gas as a transportation fuel and postponed Renewable Portfolio Standards pose upside price threats.</w:t>
      </w:r>
      <w:r w:rsidRPr="008711EB">
        <w:rPr>
          <w:vertAlign w:val="superscript"/>
        </w:rPr>
        <w:footnoteReference w:id="112"/>
      </w:r>
    </w:p>
    <w:p w14:paraId="7F7E0693" w14:textId="77777777" w:rsidR="00531307" w:rsidRPr="008711EB" w:rsidRDefault="00531307" w:rsidP="00531307"/>
    <w:p w14:paraId="20CF2E6A" w14:textId="77777777" w:rsidR="00531307" w:rsidRPr="008711EB" w:rsidRDefault="00531307" w:rsidP="00531307">
      <w:r w:rsidRPr="008711EB">
        <w:t xml:space="preserve">Sierra Club alleges that the Fundamentals Group ignored or disregarded abundant, relatively low priced natural gas.  To the contrary, the evidence demonstrates that factor was </w:t>
      </w:r>
      <w:r w:rsidRPr="004C15A1">
        <w:rPr>
          <w:b/>
          <w:i/>
        </w:rPr>
        <w:t>expressly considered</w:t>
      </w:r>
      <w:r w:rsidRPr="008711EB">
        <w:t>.</w:t>
      </w:r>
      <w:r>
        <w:t xml:space="preserve">  The use of terms like “ignored” and “disregarded” in the exceptions of Sierra Club seem designed more to inflame than inform the reader.</w:t>
      </w:r>
    </w:p>
    <w:p w14:paraId="47345978" w14:textId="77777777" w:rsidR="00531307" w:rsidRPr="008711EB" w:rsidRDefault="00531307" w:rsidP="00531307">
      <w:r>
        <w:t xml:space="preserve">As evidence of the “disregarding” of dropping gas prices, </w:t>
      </w:r>
      <w:r w:rsidRPr="008711EB">
        <w:t xml:space="preserve">Sierra Club claims that the </w:t>
      </w:r>
      <w:r>
        <w:t xml:space="preserve">AEP </w:t>
      </w:r>
      <w:r w:rsidRPr="008711EB">
        <w:t xml:space="preserve">2011 long-term </w:t>
      </w:r>
      <w:r>
        <w:t xml:space="preserve">commodity price </w:t>
      </w:r>
      <w:r w:rsidRPr="008711EB">
        <w:t xml:space="preserve">forecast was </w:t>
      </w:r>
      <w:r>
        <w:t xml:space="preserve">actually </w:t>
      </w:r>
      <w:r w:rsidRPr="00E9140F">
        <w:rPr>
          <w:b/>
          <w:i/>
        </w:rPr>
        <w:t>higher</w:t>
      </w:r>
      <w:r w:rsidRPr="008711EB">
        <w:t xml:space="preserve"> than an earlier </w:t>
      </w:r>
      <w:r>
        <w:t xml:space="preserve">AEP </w:t>
      </w:r>
      <w:r w:rsidRPr="008711EB">
        <w:t xml:space="preserve">forecast </w:t>
      </w:r>
      <w:r w:rsidRPr="008711EB">
        <w:lastRenderedPageBreak/>
        <w:t xml:space="preserve">discussed by the Commission in </w:t>
      </w:r>
      <w:r>
        <w:t xml:space="preserve">SWEPCO’s previous base rate case, </w:t>
      </w:r>
      <w:r w:rsidRPr="008711EB">
        <w:t xml:space="preserve">Docket No. 40443.  </w:t>
      </w:r>
      <w:r>
        <w:t xml:space="preserve">This claim is baseless.  </w:t>
      </w:r>
      <w:r w:rsidRPr="008711EB">
        <w:t xml:space="preserve">As is clear from the Docket No. 40443 Finding of Fact cited by Sierra Club (FoF No. 45), the prices there are stated in </w:t>
      </w:r>
      <w:r w:rsidRPr="008711EB">
        <w:rPr>
          <w:b/>
          <w:i/>
        </w:rPr>
        <w:t>2008 real dollars</w:t>
      </w:r>
      <w:r w:rsidRPr="008711EB">
        <w:t>.  As was explained to Sierra Club counsel at hearing by Mr. Becker, when asked about this comparison, the prices stated in Mr.</w:t>
      </w:r>
      <w:r w:rsidR="00473EE0">
        <w:t> </w:t>
      </w:r>
      <w:r w:rsidRPr="008711EB">
        <w:t xml:space="preserve">Becker’s </w:t>
      </w:r>
      <w:r>
        <w:t xml:space="preserve">analyses in this case </w:t>
      </w:r>
      <w:r w:rsidRPr="008711EB">
        <w:t xml:space="preserve">are in </w:t>
      </w:r>
      <w:r w:rsidRPr="008711EB">
        <w:rPr>
          <w:b/>
          <w:i/>
        </w:rPr>
        <w:t>nominal dollars</w:t>
      </w:r>
      <w:r w:rsidRPr="008711EB">
        <w:t>.</w:t>
      </w:r>
      <w:r w:rsidRPr="008711EB">
        <w:rPr>
          <w:vertAlign w:val="superscript"/>
        </w:rPr>
        <w:footnoteReference w:id="113"/>
      </w:r>
      <w:r w:rsidRPr="008711EB">
        <w:t xml:space="preserve">  In other words, the prices </w:t>
      </w:r>
      <w:r>
        <w:t>in Mr.</w:t>
      </w:r>
      <w:r w:rsidR="00473EE0">
        <w:t> </w:t>
      </w:r>
      <w:r>
        <w:t xml:space="preserve">Becker’s analyses, for example, in </w:t>
      </w:r>
      <w:r w:rsidRPr="008711EB">
        <w:t>the year 2030 are what one w</w:t>
      </w:r>
      <w:r>
        <w:t xml:space="preserve">ould </w:t>
      </w:r>
      <w:r w:rsidRPr="008711EB">
        <w:t xml:space="preserve">likely pay in 2030 dollars for gas </w:t>
      </w:r>
      <w:r w:rsidRPr="008711EB">
        <w:rPr>
          <w:b/>
          <w:i/>
        </w:rPr>
        <w:t>after the expected inflation that will take place between now and then</w:t>
      </w:r>
      <w:r w:rsidRPr="008711EB">
        <w:t xml:space="preserve">.  The forecasts discussed in Docket No. 40443 </w:t>
      </w:r>
      <w:r>
        <w:t xml:space="preserve">are stated </w:t>
      </w:r>
      <w:r w:rsidRPr="00E9140F">
        <w:rPr>
          <w:b/>
          <w:i/>
        </w:rPr>
        <w:t>in 2008 dollars</w:t>
      </w:r>
      <w:r w:rsidRPr="008711EB">
        <w:t>.  Sierra Club’s comparison is invalid.</w:t>
      </w:r>
      <w:r>
        <w:t xml:space="preserve">  This error was again pointed out to the Sierra Club in briefing.  It is inexplicable why the Sierra Club would continue to repeat this inaccurate allegation.</w:t>
      </w:r>
    </w:p>
    <w:p w14:paraId="3E593CF1" w14:textId="77777777" w:rsidR="00531307" w:rsidRPr="008711EB" w:rsidRDefault="00531307" w:rsidP="00531307">
      <w:r>
        <w:t>In its exceptions, Sierra Club cites the OPUC witness for the proposition that one consultant forecast “showed an approximately 50% drop between June 2008 and November 2009.”</w:t>
      </w:r>
      <w:r>
        <w:rPr>
          <w:rStyle w:val="FootnoteReference"/>
        </w:rPr>
        <w:footnoteReference w:id="114"/>
      </w:r>
      <w:r>
        <w:t xml:space="preserve">  But the irrelevance of this statement was demonstrated at hearing.  On cross examination, the OPUC witness conceded that the corresponding AEP long-term forecast might have been falling during the same time period and </w:t>
      </w:r>
      <w:r w:rsidRPr="008711EB">
        <w:t xml:space="preserve">that, while the </w:t>
      </w:r>
      <w:r>
        <w:t>AEP long-</w:t>
      </w:r>
      <w:r w:rsidRPr="008711EB">
        <w:t xml:space="preserve">term forecast </w:t>
      </w:r>
      <w:r w:rsidRPr="00A95D8B">
        <w:t>may have been falling</w:t>
      </w:r>
      <w:r>
        <w:t>, his</w:t>
      </w:r>
      <w:r w:rsidRPr="008711EB">
        <w:t xml:space="preserve"> “concern” was that it just didn’t fall “enough.”</w:t>
      </w:r>
      <w:r w:rsidRPr="008711EB">
        <w:rPr>
          <w:vertAlign w:val="superscript"/>
        </w:rPr>
        <w:footnoteReference w:id="115"/>
      </w:r>
      <w:r w:rsidRPr="008711EB">
        <w:t xml:space="preserve"> </w:t>
      </w:r>
      <w:r>
        <w:t xml:space="preserve"> There is no evidence that SWEPCO or AEP ignored or disregarded falling gas prices, only that Sierra Club and OPUC hope that the Commission will substitute the judgment of their witnesses for that of SWEPCO and AEP regarding the weight of this factor. </w:t>
      </w:r>
    </w:p>
    <w:p w14:paraId="0083B60F" w14:textId="77777777" w:rsidR="00531307" w:rsidRPr="008711EB" w:rsidRDefault="00531307" w:rsidP="00531307">
      <w:r w:rsidRPr="008711EB">
        <w:t xml:space="preserve">OPUC writes that SWEPCO </w:t>
      </w:r>
      <w:r>
        <w:t>“ignored” gas price data in its possession in early 2011.</w:t>
      </w:r>
      <w:r w:rsidRPr="008711EB">
        <w:rPr>
          <w:vertAlign w:val="superscript"/>
        </w:rPr>
        <w:footnoteReference w:id="116"/>
      </w:r>
      <w:r w:rsidRPr="008711EB">
        <w:t xml:space="preserve">  </w:t>
      </w:r>
      <w:r>
        <w:t xml:space="preserve">For support of this allegation, </w:t>
      </w:r>
      <w:r w:rsidRPr="008711EB">
        <w:t xml:space="preserve">OPUC </w:t>
      </w:r>
      <w:r>
        <w:t xml:space="preserve">cites the pre-filed testimony of its witness addressing the </w:t>
      </w:r>
      <w:r w:rsidRPr="008711EB">
        <w:t xml:space="preserve">IHSCERA long-term forecast </w:t>
      </w:r>
      <w:r>
        <w:t xml:space="preserve">that </w:t>
      </w:r>
      <w:r w:rsidRPr="008711EB">
        <w:t xml:space="preserve">was lower than those developed by the </w:t>
      </w:r>
      <w:r>
        <w:t xml:space="preserve">AEP </w:t>
      </w:r>
      <w:r w:rsidRPr="008711EB">
        <w:t>Fundamentals Group at the time.</w:t>
      </w:r>
      <w:r w:rsidRPr="008711EB">
        <w:rPr>
          <w:vertAlign w:val="superscript"/>
        </w:rPr>
        <w:footnoteReference w:id="117"/>
      </w:r>
      <w:r w:rsidRPr="008711EB">
        <w:t xml:space="preserve">  That the long-term forecast of a third party was lower than those developed by the </w:t>
      </w:r>
      <w:r>
        <w:t xml:space="preserve">AEP </w:t>
      </w:r>
      <w:r w:rsidRPr="008711EB">
        <w:t xml:space="preserve">Fundamentals Group at the time is hardly evidence of an imprudent unit disposition </w:t>
      </w:r>
      <w:r w:rsidRPr="008711EB">
        <w:lastRenderedPageBreak/>
        <w:t xml:space="preserve">analysis.  Indeed, the evidence establishes that the range of consultant forecasts available </w:t>
      </w:r>
      <w:r>
        <w:t xml:space="preserve">to AEP </w:t>
      </w:r>
      <w:r w:rsidRPr="008711EB">
        <w:t xml:space="preserve">at the time included forecasts </w:t>
      </w:r>
      <w:r w:rsidRPr="00114B83">
        <w:rPr>
          <w:b/>
          <w:i/>
        </w:rPr>
        <w:t>both above and below</w:t>
      </w:r>
      <w:r w:rsidRPr="008711EB">
        <w:t xml:space="preserve"> those developed by the Fundamentals Group.</w:t>
      </w:r>
      <w:r w:rsidRPr="008711EB">
        <w:rPr>
          <w:vertAlign w:val="superscript"/>
        </w:rPr>
        <w:footnoteReference w:id="118"/>
      </w:r>
      <w:r>
        <w:t xml:space="preserve">  That the range of consultant forecasts available to SWEPCO and AEP at the time that were both above and below those developed by the AEP Fundamentals Group is a fact not disclosed by either Sierra Club or OPUC.  As correctly found by the ALJs, “</w:t>
      </w:r>
      <w:r w:rsidRPr="001C0E52">
        <w:t>The fact that other forecasters issued projections above or below those used by SWEPCO is not in itself a reason to find SWEPCO’s choices imprudent; it is merely a reflection of the uncertainty inherent in forecasting.</w:t>
      </w:r>
      <w:r>
        <w:t>”</w:t>
      </w:r>
      <w:r>
        <w:rPr>
          <w:rStyle w:val="FootnoteReference"/>
        </w:rPr>
        <w:footnoteReference w:id="119"/>
      </w:r>
    </w:p>
    <w:p w14:paraId="57EBFC05" w14:textId="77777777" w:rsidR="00531307" w:rsidRPr="008711EB" w:rsidRDefault="00531307" w:rsidP="00531307">
      <w:r w:rsidRPr="008711EB">
        <w:t xml:space="preserve">Both Sierra Club and OPUC allege that SWEPCO relied on gas forecasts that were </w:t>
      </w:r>
      <w:r>
        <w:t>“outdated.”</w:t>
      </w:r>
      <w:r w:rsidRPr="008711EB">
        <w:rPr>
          <w:vertAlign w:val="superscript"/>
        </w:rPr>
        <w:footnoteReference w:id="120"/>
      </w:r>
      <w:r w:rsidRPr="008711EB">
        <w:t xml:space="preserve">  This allegation is </w:t>
      </w:r>
      <w:r>
        <w:t xml:space="preserve">also </w:t>
      </w:r>
      <w:r w:rsidRPr="008711EB">
        <w:t>false.  The Company updated its commodity price forecast twice during the five month period from January 2011 through May 2011 (</w:t>
      </w:r>
      <w:r w:rsidR="009E3081">
        <w:t>e</w:t>
      </w:r>
      <w:r w:rsidRPr="008711EB">
        <w:t>arly 2011).  These commodity price forecast updates were developed while the Company performed the Early 2011 unit disposition analyses that contributed to the Company’s decision making process that led to its retrofit and retirement decisions announced on June 9, 2011.  The January 2011 unit disposition analyses used a commodity price forecast that was developed in late 2010.  The February 2011 through April 2011 unit disposition analyses used a commodity price forecast that was updated in January 2011 and the May 2011 analyses used commodity pricing that was updated in late April 2011.</w:t>
      </w:r>
      <w:r w:rsidRPr="008711EB">
        <w:rPr>
          <w:vertAlign w:val="superscript"/>
        </w:rPr>
        <w:footnoteReference w:id="121"/>
      </w:r>
      <w:r>
        <w:t xml:space="preserve">  </w:t>
      </w:r>
      <w:r w:rsidR="00AA1164">
        <w:t xml:space="preserve">During the continuing due diligence analyses conducted after the June 2011 announcement of the AEP generation environmental compliance plan, the commodity price forecast was updated again in </w:t>
      </w:r>
      <w:proofErr w:type="gramStart"/>
      <w:r w:rsidR="00AA1164">
        <w:t>Fall</w:t>
      </w:r>
      <w:proofErr w:type="gramEnd"/>
      <w:r w:rsidR="00AA1164">
        <w:t xml:space="preserve"> 2011, Fall 2013 and then again in Summer 2014.</w:t>
      </w:r>
      <w:r w:rsidR="00AA1164">
        <w:rPr>
          <w:rStyle w:val="FootnoteReference"/>
        </w:rPr>
        <w:footnoteReference w:id="122"/>
      </w:r>
      <w:r w:rsidR="00AA1164">
        <w:t xml:space="preserve">  </w:t>
      </w:r>
      <w:r>
        <w:t xml:space="preserve">In the face of this evidence, it is inexplicable why OPUC would make the claim “there was only one update to gas price data over that four-year period” and “the Company’s analytical starting point was outdated gas price forecasts rather than the more recent gas price forecast data it had in </w:t>
      </w:r>
      <w:r>
        <w:lastRenderedPageBreak/>
        <w:t>its possession but chose not to use.”</w:t>
      </w:r>
      <w:r>
        <w:rPr>
          <w:rStyle w:val="FootnoteReference"/>
        </w:rPr>
        <w:footnoteReference w:id="123"/>
      </w:r>
    </w:p>
    <w:p w14:paraId="133029DB" w14:textId="77777777" w:rsidR="00531307" w:rsidRPr="001662CE" w:rsidRDefault="00531307" w:rsidP="000E3B55">
      <w:pPr>
        <w:rPr>
          <w:rFonts w:eastAsiaTheme="majorEastAsia"/>
          <w:b/>
          <w:i/>
        </w:rPr>
      </w:pPr>
      <w:bookmarkStart w:id="14" w:name="_Toc488315382"/>
      <w:r w:rsidRPr="001662CE">
        <w:rPr>
          <w:rFonts w:eastAsiaTheme="majorEastAsia"/>
          <w:b/>
          <w:i/>
        </w:rPr>
        <w:t>Environmental Compliance Costs</w:t>
      </w:r>
      <w:bookmarkEnd w:id="14"/>
    </w:p>
    <w:p w14:paraId="39C273ED" w14:textId="77777777" w:rsidR="00531307" w:rsidRDefault="00531307" w:rsidP="00531307">
      <w:r>
        <w:rPr>
          <w:b/>
        </w:rPr>
        <w:t xml:space="preserve">Sierra Club Allegation:  </w:t>
      </w:r>
      <w:r>
        <w:t>SWEPCO “manipulated” the timeline for environmental compliance in its analyses.</w:t>
      </w:r>
    </w:p>
    <w:p w14:paraId="73E61BDE" w14:textId="77777777" w:rsidR="00531307" w:rsidRDefault="00531307" w:rsidP="00531307">
      <w:r>
        <w:rPr>
          <w:b/>
        </w:rPr>
        <w:t xml:space="preserve">But the Evidence Demonstrates:  </w:t>
      </w:r>
      <w:r>
        <w:t>The Early 2011 analyses studied a variety of environmental compliance implementation dates, reflective of the uncertainty prevailing at the time.</w:t>
      </w:r>
    </w:p>
    <w:p w14:paraId="5DC80C82" w14:textId="77777777" w:rsidR="00AA1164" w:rsidRDefault="00531307" w:rsidP="00531307">
      <w:r w:rsidRPr="008711EB">
        <w:t>As discussed in the Rebuttal Testimony of Company witness John Hendricks,</w:t>
      </w:r>
      <w:r w:rsidRPr="008711EB">
        <w:rPr>
          <w:vertAlign w:val="superscript"/>
        </w:rPr>
        <w:footnoteReference w:id="124"/>
      </w:r>
      <w:r w:rsidRPr="008711EB">
        <w:t xml:space="preserve"> at the time the Early 2011 analyses were conducted, the deadline for the installation of retrofits to meet MATS compliance was uncertain.  In order to account for this uncertainty, SWEPCO analyzed two different scenarios around the installation dates for the ACI and baghouse retrofits.  One scenario had the ACI and baghouse retrofits installed by January 1, 2019, or 2020.  A second scenario was evaluated that had th</w:t>
      </w:r>
      <w:r>
        <w:t xml:space="preserve">ose </w:t>
      </w:r>
      <w:r w:rsidRPr="008711EB">
        <w:t xml:space="preserve">retrofits installed by January 1, 2016 and was accounted for in the “Path B” results found in Tables 5, </w:t>
      </w:r>
      <w:r>
        <w:t>9</w:t>
      </w:r>
      <w:r w:rsidRPr="008711EB">
        <w:t>, and 12 of the direct testimony of SWEPCO witness Mr. Becker</w:t>
      </w:r>
      <w:r>
        <w:t xml:space="preserve"> and reproduced above</w:t>
      </w:r>
      <w:r w:rsidRPr="008711EB">
        <w:t xml:space="preserve">.  </w:t>
      </w:r>
    </w:p>
    <w:p w14:paraId="5E94B09D" w14:textId="77777777" w:rsidR="00531307" w:rsidRDefault="00531307" w:rsidP="00531307">
      <w:r w:rsidRPr="008711EB">
        <w:t>Sierra Club alleges that SWEPCO did not properly study compliance costs associated with the Regional Haze Rule.  In the January 2011 through April 2011 Welsh unit disposition analyses, SWEPCO studied FGDs installed in 2019, or 2020, several years ahead of what Sierra Club Ms. Wilson indicates would be the compliance date for the Regional Haze Rule.  It wasn’t until the May 2011 analysis that SWEPCO analyzed the FGD retrofits in the mid-2020s.</w:t>
      </w:r>
      <w:r w:rsidRPr="008711EB">
        <w:rPr>
          <w:vertAlign w:val="superscript"/>
        </w:rPr>
        <w:footnoteReference w:id="125"/>
      </w:r>
      <w:r>
        <w:t xml:space="preserve">  The ALJs put the use of varied compliance timeline assumptions in perspective:</w:t>
      </w:r>
    </w:p>
    <w:p w14:paraId="09486BA1" w14:textId="77777777" w:rsidR="00531307" w:rsidRDefault="00531307" w:rsidP="00B75A84">
      <w:pPr>
        <w:spacing w:line="240" w:lineRule="auto"/>
        <w:ind w:left="720" w:right="720" w:firstLine="0"/>
      </w:pPr>
      <w:r w:rsidRPr="00AD3E91">
        <w:t xml:space="preserve">Sierra Club places great emphasis on a “half-billion dollar change” in unit disposition analysis results between April and May 2011 because SWEPCO changed its assumptions about the timing of environmental regulatory impacts.  Sierra Club’s complaint would have merit if May 2011 was the only analysis considered by SWEPCO. There is no evidence that such was the case.  The analyses prior to May 2011 favored retrofits and SWEPCO continued to update </w:t>
      </w:r>
      <w:r w:rsidRPr="00AD3E91">
        <w:lastRenderedPageBreak/>
        <w:t>and periodically retest its decisions after May 2011 as well.</w:t>
      </w:r>
      <w:r>
        <w:rPr>
          <w:rStyle w:val="FootnoteReference"/>
        </w:rPr>
        <w:footnoteReference w:id="126"/>
      </w:r>
    </w:p>
    <w:p w14:paraId="3A55A4E1" w14:textId="77777777" w:rsidR="00531307" w:rsidRDefault="00531307" w:rsidP="001662CE">
      <w:pPr>
        <w:spacing w:line="240" w:lineRule="auto"/>
      </w:pPr>
    </w:p>
    <w:p w14:paraId="02A317B8" w14:textId="77777777" w:rsidR="00531307" w:rsidRPr="008711EB" w:rsidRDefault="00531307" w:rsidP="00531307">
      <w:r>
        <w:t>As with earlier parts of the Sierra Club exceptions, the repeated allegation that SWEPCO “manipulated” environmental compliance timelines seems designed more to inflame rather than inform the reader.</w:t>
      </w:r>
    </w:p>
    <w:p w14:paraId="45D1A85D" w14:textId="77777777" w:rsidR="00531307" w:rsidRPr="001662CE" w:rsidRDefault="00531307" w:rsidP="00643855">
      <w:pPr>
        <w:rPr>
          <w:rFonts w:eastAsiaTheme="majorEastAsia"/>
          <w:b/>
          <w:i/>
        </w:rPr>
      </w:pPr>
      <w:bookmarkStart w:id="15" w:name="_Toc488315383"/>
      <w:r w:rsidRPr="001662CE">
        <w:rPr>
          <w:rFonts w:eastAsiaTheme="majorEastAsia"/>
          <w:b/>
          <w:i/>
        </w:rPr>
        <w:t>Analysis of Welsh Units 1 and 3</w:t>
      </w:r>
      <w:bookmarkEnd w:id="15"/>
    </w:p>
    <w:p w14:paraId="1734CC4F" w14:textId="77777777" w:rsidR="00531307" w:rsidRDefault="00531307" w:rsidP="00531307">
      <w:r>
        <w:rPr>
          <w:b/>
        </w:rPr>
        <w:t xml:space="preserve">Sierra Club Allegation:  </w:t>
      </w:r>
      <w:r>
        <w:t>SWEPCO failed to evaluate Welsh Units 1 and 3 separately.</w:t>
      </w:r>
    </w:p>
    <w:p w14:paraId="5F8EB8FB" w14:textId="77777777" w:rsidR="00531307" w:rsidRDefault="00531307" w:rsidP="00531307">
      <w:r>
        <w:rPr>
          <w:b/>
        </w:rPr>
        <w:t xml:space="preserve">But the Evidence Demonstrates:  </w:t>
      </w:r>
      <w:r>
        <w:t>This allegation is based on an error in the Sierra Club witness’ testimony.</w:t>
      </w:r>
    </w:p>
    <w:p w14:paraId="015B5D90" w14:textId="77777777" w:rsidR="00531307" w:rsidRPr="008711EB" w:rsidRDefault="00531307" w:rsidP="00531307">
      <w:r w:rsidRPr="008711EB">
        <w:t xml:space="preserve">On pages </w:t>
      </w:r>
      <w:r>
        <w:t>56</w:t>
      </w:r>
      <w:r w:rsidRPr="008711EB">
        <w:t xml:space="preserve"> through </w:t>
      </w:r>
      <w:r>
        <w:t>5</w:t>
      </w:r>
      <w:r w:rsidRPr="008711EB">
        <w:t xml:space="preserve">7 of its </w:t>
      </w:r>
      <w:r>
        <w:t>exceptions</w:t>
      </w:r>
      <w:r w:rsidRPr="008711EB">
        <w:t xml:space="preserve">, Sierra Club recirculates Ms. Wilson’s debunked claim that SWEPCO’s Early 2011 analyses was flawed by failing to evaluate the retirement of Welsh Units 1 and 3 on an individual unit basis.  Ms. Wilson bases her arguments for the benefits of analyzing the Welsh unit disposition on an individual unit basis on a misinterpretation of SWEPCO’s response to OPUC </w:t>
      </w:r>
      <w:r>
        <w:t xml:space="preserve">RFI </w:t>
      </w:r>
      <w:r w:rsidRPr="008711EB">
        <w:t>1-8</w:t>
      </w:r>
      <w:r>
        <w:t>,</w:t>
      </w:r>
      <w:r w:rsidRPr="008711EB">
        <w:t xml:space="preserve"> Attachment 134.  In Table 3 of her testimony </w:t>
      </w:r>
      <w:r>
        <w:t>on which the Sierra Club exception is based</w:t>
      </w:r>
      <w:r w:rsidRPr="008711EB">
        <w:t>, Ms. Wilson uses SWEPCO’s response incorrectly and erroneously indicates that the cost of retirement of both Welsh units when compared to retrofitting both Welsh units is $365 million.  As shown in the discovery response, the $365 million cost of retirement is based on a scenario where the retrofit of both units is compared to a scenario where Welsh Unit 3 is retrofit and Welsh Unit 1 is retired, not a scenario where both Welsh units are retired, as she has indicated in her testimony.  This error leaves the comparisons Ms. Wilson attempts to draw from her Table 3 meaningless.</w:t>
      </w:r>
      <w:r w:rsidRPr="008711EB">
        <w:rPr>
          <w:vertAlign w:val="superscript"/>
        </w:rPr>
        <w:footnoteReference w:id="127"/>
      </w:r>
      <w:r>
        <w:t xml:space="preserve">  The error was pointed out to Sierra Club in briefing.  Nonetheless, Sierra Club repeats the baseless allegation in its exceptions.</w:t>
      </w:r>
    </w:p>
    <w:p w14:paraId="292111C4" w14:textId="77777777" w:rsidR="00531307" w:rsidRPr="001662CE" w:rsidRDefault="00531307" w:rsidP="00643855">
      <w:pPr>
        <w:rPr>
          <w:rFonts w:eastAsiaTheme="majorEastAsia"/>
          <w:b/>
          <w:i/>
        </w:rPr>
      </w:pPr>
      <w:bookmarkStart w:id="16" w:name="_Toc488315384"/>
      <w:r w:rsidRPr="001662CE">
        <w:rPr>
          <w:rFonts w:eastAsiaTheme="majorEastAsia"/>
          <w:b/>
          <w:i/>
        </w:rPr>
        <w:t>Replacement Capacity</w:t>
      </w:r>
      <w:bookmarkEnd w:id="16"/>
    </w:p>
    <w:p w14:paraId="74B3455F" w14:textId="77777777" w:rsidR="00531307" w:rsidRDefault="00531307" w:rsidP="00643855">
      <w:pPr>
        <w:rPr>
          <w:rFonts w:eastAsiaTheme="majorEastAsia"/>
        </w:rPr>
      </w:pPr>
      <w:r>
        <w:rPr>
          <w:rFonts w:eastAsiaTheme="majorEastAsia"/>
          <w:b/>
        </w:rPr>
        <w:t xml:space="preserve">Sierra Club Allegation:  </w:t>
      </w:r>
      <w:r>
        <w:rPr>
          <w:rFonts w:eastAsiaTheme="majorEastAsia"/>
        </w:rPr>
        <w:t>SWEPCO “refused” to model market purchases as a replacement option for its solid fuel units.</w:t>
      </w:r>
    </w:p>
    <w:p w14:paraId="1C79498F" w14:textId="77777777" w:rsidR="00531307" w:rsidRPr="00EE1A99" w:rsidRDefault="00531307" w:rsidP="00643855">
      <w:pPr>
        <w:rPr>
          <w:rFonts w:eastAsiaTheme="majorEastAsia"/>
        </w:rPr>
      </w:pPr>
      <w:r>
        <w:rPr>
          <w:rFonts w:eastAsiaTheme="majorEastAsia"/>
          <w:b/>
        </w:rPr>
        <w:t xml:space="preserve">But the Evidence Demonstrates:  </w:t>
      </w:r>
      <w:r>
        <w:rPr>
          <w:rFonts w:eastAsiaTheme="majorEastAsia"/>
        </w:rPr>
        <w:t>SWEPCO’s modeling was reasonably based on information available regarding replacement capacity.</w:t>
      </w:r>
    </w:p>
    <w:p w14:paraId="7407AE5D" w14:textId="77777777" w:rsidR="00531307" w:rsidRPr="008711EB" w:rsidRDefault="00531307" w:rsidP="00531307">
      <w:r w:rsidRPr="004E30CB">
        <w:lastRenderedPageBreak/>
        <w:t>SWEPCO did not separately model Power Purchase Agreements (PPAs) or Asset Purchase Agreements (APAs) in the early 2011 unit dispositions.  A new combined-cycle unit is based on the same fundamental generation technology and fuel source as a PPA, or APA that SWEPCO would acquire through a RFP process.  Therefore, a new combined-cycle unit</w:t>
      </w:r>
      <w:r w:rsidRPr="008711EB">
        <w:t xml:space="preserve"> provides a reasonable proxy for the cost of PPA and APA capacity for purposes of the long-term (i.e. 30 year) study horizon, as developers build new combined-cycle resources over time to provide capacity and energy to the market through these types of agreements.  In addition, the cost of new replacement combined-cycle capacity provides a more reliable and easily verifiable representation of the long-term cost of replacement capacity.  AEP routinely develops the costs of new combined-cycle capacity to use as resource alternatives in its integrated resource planning (IRP) processes.</w:t>
      </w:r>
      <w:r w:rsidRPr="008711EB">
        <w:rPr>
          <w:vertAlign w:val="superscript"/>
        </w:rPr>
        <w:footnoteReference w:id="128"/>
      </w:r>
    </w:p>
    <w:p w14:paraId="65B9278F" w14:textId="77777777" w:rsidR="00531307" w:rsidRPr="001662CE" w:rsidRDefault="00531307" w:rsidP="00643855">
      <w:pPr>
        <w:rPr>
          <w:b/>
          <w:i/>
        </w:rPr>
      </w:pPr>
      <w:r w:rsidRPr="001662CE">
        <w:rPr>
          <w:b/>
          <w:i/>
        </w:rPr>
        <w:t>Conclusion</w:t>
      </w:r>
    </w:p>
    <w:p w14:paraId="0B2F89DF" w14:textId="77777777" w:rsidR="00531307" w:rsidRDefault="00531307" w:rsidP="00531307">
      <w:r w:rsidRPr="008711EB">
        <w:t>While the allegations of Sierra Club and OPUC are baseless, it is also important to note that the culmination of th</w:t>
      </w:r>
      <w:r>
        <w:t>ese</w:t>
      </w:r>
      <w:r w:rsidRPr="008711EB">
        <w:t xml:space="preserve"> baseless allegation</w:t>
      </w:r>
      <w:r>
        <w:t>s</w:t>
      </w:r>
      <w:r w:rsidRPr="008711EB">
        <w:t xml:space="preserve"> is Sierra Club’s speculation that</w:t>
      </w:r>
      <w:r>
        <w:t xml:space="preserve">, if its preferred inputs were used in the analyses, replacing a portion of SWEPCO’s solid fuel units “would likely have been at a lower cost” than </w:t>
      </w:r>
      <w:r w:rsidRPr="008711EB">
        <w:t>retrofitting the plants.</w:t>
      </w:r>
      <w:r w:rsidRPr="008711EB">
        <w:rPr>
          <w:vertAlign w:val="superscript"/>
        </w:rPr>
        <w:footnoteReference w:id="129"/>
      </w:r>
      <w:r w:rsidRPr="008711EB">
        <w:t xml:space="preserve">  </w:t>
      </w:r>
      <w:r>
        <w:t xml:space="preserve">Similarly, </w:t>
      </w:r>
      <w:r w:rsidRPr="008711EB">
        <w:t xml:space="preserve">OPUC </w:t>
      </w:r>
      <w:r>
        <w:t>alleges that its proposed penalty is appropriate for the harm that SWEPCO customers “may have borne.”</w:t>
      </w:r>
      <w:r w:rsidRPr="008711EB">
        <w:rPr>
          <w:vertAlign w:val="superscript"/>
        </w:rPr>
        <w:footnoteReference w:id="130"/>
      </w:r>
      <w:r w:rsidRPr="008711EB">
        <w:t xml:space="preserve">  Neither Sierra Club nor OPUC offers calculations to support their speculation.  Such obvious speculation should be afforded little to no weight in application of the Commission’s prudence standard.</w:t>
      </w:r>
    </w:p>
    <w:p w14:paraId="39C8D939" w14:textId="77777777" w:rsidR="007021FD" w:rsidRDefault="007021FD" w:rsidP="0064594B">
      <w:pPr>
        <w:pStyle w:val="Heading2"/>
        <w:ind w:hanging="720"/>
      </w:pPr>
      <w:bookmarkStart w:id="17" w:name="_Toc497123817"/>
      <w:bookmarkStart w:id="18" w:name="_Ref489521938"/>
      <w:bookmarkStart w:id="19" w:name="_Ref491165676"/>
      <w:r>
        <w:t xml:space="preserve">Welsh Unit 2 </w:t>
      </w:r>
      <w:r w:rsidRPr="00D22DDD">
        <w:t>Retirement</w:t>
      </w:r>
      <w:bookmarkEnd w:id="17"/>
      <w:r>
        <w:t xml:space="preserve"> </w:t>
      </w:r>
      <w:bookmarkEnd w:id="18"/>
      <w:bookmarkEnd w:id="19"/>
    </w:p>
    <w:p w14:paraId="694235CC" w14:textId="77777777" w:rsidR="007021FD" w:rsidRDefault="007021FD" w:rsidP="007021FD">
      <w:pPr>
        <w:pStyle w:val="Heading3"/>
        <w:keepNext w:val="0"/>
        <w:numPr>
          <w:ilvl w:val="0"/>
          <w:numId w:val="11"/>
        </w:numPr>
      </w:pPr>
      <w:bookmarkStart w:id="20" w:name="_Toc497123818"/>
      <w:bookmarkStart w:id="21" w:name="_Ref489521941"/>
      <w:r>
        <w:t>Prudence of Retirement of Welsh Unit 2</w:t>
      </w:r>
      <w:bookmarkEnd w:id="20"/>
      <w:r>
        <w:t xml:space="preserve"> </w:t>
      </w:r>
      <w:bookmarkEnd w:id="21"/>
    </w:p>
    <w:p w14:paraId="2C16C800" w14:textId="77777777" w:rsidR="0017782F" w:rsidRDefault="007021FD" w:rsidP="0017782F">
      <w:r w:rsidRPr="00823A78">
        <w:t xml:space="preserve">CARD’s exceptions to the ALJs determination that SWEPCO prudently retired Welsh Unit 2 continue to urge arguments that find no support in the credible evidence, and which the ALJs carefully and thoroughly considered and rejected.  SWEPCO’s decision to retire Welsh Unit 2 was supported by a thorough and multi-faceted consideration of a complex set of facts and </w:t>
      </w:r>
      <w:r w:rsidRPr="00823A78">
        <w:lastRenderedPageBreak/>
        <w:t>circumstances.  That decision was appropriate</w:t>
      </w:r>
      <w:r w:rsidR="00233B0F">
        <w:t xml:space="preserve"> as a</w:t>
      </w:r>
      <w:r w:rsidRPr="00823A78">
        <w:t xml:space="preserve"> response to </w:t>
      </w:r>
      <w:r w:rsidR="00233B0F">
        <w:t xml:space="preserve">the </w:t>
      </w:r>
      <w:r w:rsidRPr="00823A78">
        <w:t xml:space="preserve">environmental compliance and financial risks SWEPCO </w:t>
      </w:r>
      <w:r w:rsidR="00233B0F">
        <w:t xml:space="preserve">faced, and which SWEPCO </w:t>
      </w:r>
      <w:r w:rsidRPr="00823A78">
        <w:t xml:space="preserve">management reasonably considered to be persistent, long term, and ultimately unavoidable.  Moreover, the specific timing of </w:t>
      </w:r>
      <w:r w:rsidR="0017782F">
        <w:t>SWEPCO’s</w:t>
      </w:r>
      <w:r w:rsidRPr="00823A78">
        <w:t xml:space="preserve"> commitment to retire the plant, made in June 2011, was reasonable in light of the pressure </w:t>
      </w:r>
      <w:r>
        <w:t xml:space="preserve">the EPA </w:t>
      </w:r>
      <w:r w:rsidRPr="00823A78">
        <w:t xml:space="preserve">was bringing to bear </w:t>
      </w:r>
      <w:r w:rsidR="0017782F">
        <w:t xml:space="preserve">to achieve timely </w:t>
      </w:r>
      <w:r w:rsidRPr="00823A78">
        <w:t xml:space="preserve">compliance with existing or soon to be enacted environmental regulations, and the very tight timelines for completing the extensive capital projects needed to come into compliance.  </w:t>
      </w:r>
      <w:r w:rsidR="0017782F">
        <w:t>The EPA itself recognized these timing constraints, stating, for example, in connection with MATS compliance:</w:t>
      </w:r>
    </w:p>
    <w:p w14:paraId="01036944" w14:textId="77777777" w:rsidR="0017782F" w:rsidRDefault="0017782F" w:rsidP="0017782F">
      <w:pPr>
        <w:spacing w:line="240" w:lineRule="auto"/>
        <w:ind w:left="720" w:right="720" w:firstLine="0"/>
      </w:pPr>
      <w:r>
        <w:t>Although EPS’s analysis shows that there is sufficient time and grid capacity to allow for compliance with the rule within the 3-year compliance window (with the possibility fo a 1-year extension), to achieve compliance in a timely fashion, EPA expects that sources will begin promptly, based upon this proposed rule, to evaluate, select, and plan to implement, source-specific compliance options.</w:t>
      </w:r>
      <w:r>
        <w:rPr>
          <w:rStyle w:val="FootnoteReference"/>
        </w:rPr>
        <w:footnoteReference w:id="131"/>
      </w:r>
    </w:p>
    <w:p w14:paraId="7AEA1131" w14:textId="77777777" w:rsidR="0017782F" w:rsidRDefault="0017782F" w:rsidP="0017782F">
      <w:pPr>
        <w:spacing w:line="240" w:lineRule="auto"/>
        <w:ind w:firstLine="0"/>
      </w:pPr>
    </w:p>
    <w:p w14:paraId="00A28D8D" w14:textId="77777777" w:rsidR="007021FD" w:rsidRPr="00823A78" w:rsidRDefault="007021FD" w:rsidP="004E30CB">
      <w:pPr>
        <w:ind w:firstLine="0"/>
      </w:pPr>
      <w:r w:rsidRPr="00823A78">
        <w:t>As the ALJs determined, CARD’s attempt to use the fact that environmental compliance cost estimates declined in 2012 is an exercise in impermissible hindsight.</w:t>
      </w:r>
    </w:p>
    <w:p w14:paraId="771D05C1" w14:textId="77777777" w:rsidR="007021FD" w:rsidRPr="00823A78" w:rsidRDefault="007021FD" w:rsidP="007021FD">
      <w:r w:rsidRPr="00823A78">
        <w:t xml:space="preserve">In fact, in June of 2011, contemporaneous with the decision to retire Welsh Unit 2, SWEPCO prepared a presentation </w:t>
      </w:r>
      <w:r w:rsidR="0017782F">
        <w:t>in response to</w:t>
      </w:r>
      <w:r w:rsidRPr="00823A78">
        <w:t xml:space="preserve"> Commission</w:t>
      </w:r>
      <w:r w:rsidR="0017782F">
        <w:t xml:space="preserve"> direction</w:t>
      </w:r>
      <w:r w:rsidRPr="00823A78">
        <w:t>, depicting the impact on its solid fuel generation fleet of several key evolving regulations.</w:t>
      </w:r>
      <w:r w:rsidRPr="00823A78">
        <w:rPr>
          <w:vertAlign w:val="superscript"/>
        </w:rPr>
        <w:footnoteReference w:id="132"/>
      </w:r>
      <w:r w:rsidRPr="00823A78">
        <w:t xml:space="preserve">  This presentation was made at a workshop convened by the Commission to hear industry input into its concerns with the looming impacts of new and evolving environmental compliance requirements.</w:t>
      </w:r>
      <w:r w:rsidRPr="00823A78">
        <w:rPr>
          <w:vertAlign w:val="superscript"/>
        </w:rPr>
        <w:footnoteReference w:id="133"/>
      </w:r>
      <w:r w:rsidRPr="00823A78">
        <w:t xml:space="preserve">  </w:t>
      </w:r>
      <w:r w:rsidR="0017782F">
        <w:t>D</w:t>
      </w:r>
      <w:r w:rsidRPr="00823A78">
        <w:t>epicted on page 5 of the presentation are the compliance deadlines that were expected at the time, which plainly required prompt and proactive decisions at the time if compliance was to be assured.</w:t>
      </w:r>
      <w:r w:rsidRPr="00823A78">
        <w:rPr>
          <w:vertAlign w:val="superscript"/>
        </w:rPr>
        <w:footnoteReference w:id="134"/>
      </w:r>
      <w:r w:rsidRPr="00823A78">
        <w:t xml:space="preserve">  This presentation underscores the complexity, uncertainty and sense of urgency felt by SWEPCO and other industry participants at the time.  It also reflects the Commission’s concern regarding the actions required of utilities then wrestling with compliance and reliability.</w:t>
      </w:r>
    </w:p>
    <w:p w14:paraId="2F72AB69" w14:textId="77777777" w:rsidR="007021FD" w:rsidRPr="00823A78" w:rsidRDefault="007021FD" w:rsidP="007021FD">
      <w:r w:rsidRPr="00823A78">
        <w:t xml:space="preserve">Notably, Sierra Club’s witness Rachel Wilson claims that the Company was imprudent in </w:t>
      </w:r>
      <w:r w:rsidRPr="00823A78">
        <w:lastRenderedPageBreak/>
        <w:t xml:space="preserve">carrying out retrofits on units other than Welsh Unit 2, on the basis that the Company </w:t>
      </w:r>
      <w:r w:rsidRPr="00823A78">
        <w:rPr>
          <w:b/>
          <w:u w:val="single"/>
        </w:rPr>
        <w:t>did not give enough weight</w:t>
      </w:r>
      <w:r w:rsidRPr="00823A78">
        <w:t xml:space="preserve"> to future environmental regulations.</w:t>
      </w:r>
      <w:r w:rsidRPr="00823A78">
        <w:rPr>
          <w:vertAlign w:val="superscript"/>
        </w:rPr>
        <w:footnoteReference w:id="135"/>
      </w:r>
      <w:r w:rsidRPr="00823A78">
        <w:t xml:space="preserve">  Thus, SWEPCO is accused of imprudence based on completely conflicting and antagonistic reasoning by Mr.</w:t>
      </w:r>
      <w:r>
        <w:t> </w:t>
      </w:r>
      <w:r w:rsidRPr="00823A78">
        <w:t>Norwood and Ms. Wilson.  This conflict highlight</w:t>
      </w:r>
      <w:r w:rsidR="0017782F">
        <w:t>s</w:t>
      </w:r>
      <w:r w:rsidRPr="00823A78">
        <w:t xml:space="preserve"> the challenges facing SWEPCO at the time, and supports the conclusion that the balanced approach followed by SWEPCO reflects the exercise of prudent decision</w:t>
      </w:r>
      <w:r>
        <w:t>-</w:t>
      </w:r>
      <w:r w:rsidRPr="00823A78">
        <w:t>making.</w:t>
      </w:r>
      <w:r w:rsidRPr="00823A78">
        <w:rPr>
          <w:vertAlign w:val="superscript"/>
        </w:rPr>
        <w:footnoteReference w:id="136"/>
      </w:r>
      <w:r w:rsidRPr="00823A78">
        <w:t xml:space="preserve"> </w:t>
      </w:r>
    </w:p>
    <w:p w14:paraId="5D26A88B" w14:textId="77777777" w:rsidR="007021FD" w:rsidRPr="005A1CAE" w:rsidRDefault="007021FD" w:rsidP="007021FD">
      <w:pPr>
        <w:spacing w:line="240" w:lineRule="auto"/>
        <w:ind w:left="720" w:firstLine="0"/>
        <w:rPr>
          <w:b/>
          <w:i/>
        </w:rPr>
      </w:pPr>
      <w:r w:rsidRPr="005A1CAE">
        <w:rPr>
          <w:b/>
          <w:i/>
        </w:rPr>
        <w:t>SWEPCO’s Decision was the Product of Thorough, Reasoned and Multi-faceted Consideration of Complex Facts and Circumstances.</w:t>
      </w:r>
    </w:p>
    <w:p w14:paraId="2F1CCEB0" w14:textId="77777777" w:rsidR="007021FD" w:rsidRPr="00253B4F" w:rsidRDefault="007021FD" w:rsidP="007021FD">
      <w:pPr>
        <w:spacing w:line="240" w:lineRule="auto"/>
        <w:ind w:left="720" w:firstLine="0"/>
        <w:rPr>
          <w:b/>
        </w:rPr>
      </w:pPr>
    </w:p>
    <w:p w14:paraId="7F3208E1" w14:textId="77777777" w:rsidR="007021FD" w:rsidRPr="00823A78" w:rsidRDefault="007021FD" w:rsidP="007021FD">
      <w:r w:rsidRPr="00823A78">
        <w:t>CARD’s exceptions fail to give the Commission the full picture of the complex environmental, financial and operational challenges SWEPCO dealt with in deciding to retire Welsh Unit 2.  The decision was part of a reasonable and balanced resource portfolio management strategy, which by retrofitting some units and retiring others, allowed SWEPCO to “manage the overall concentration of solid fuels in the portfolio as a hedge against future, more stringent environmental compliance requirements.”</w:t>
      </w:r>
      <w:r w:rsidRPr="00823A78">
        <w:rPr>
          <w:vertAlign w:val="superscript"/>
        </w:rPr>
        <w:footnoteReference w:id="137"/>
      </w:r>
      <w:r w:rsidRPr="00823A78">
        <w:t xml:space="preserve">  </w:t>
      </w:r>
    </w:p>
    <w:p w14:paraId="3D8BA2DD" w14:textId="77777777" w:rsidR="007021FD" w:rsidRPr="00823A78" w:rsidRDefault="007021FD" w:rsidP="007021FD">
      <w:r w:rsidRPr="00823A78">
        <w:t>Leading up to SWEPCO</w:t>
      </w:r>
      <w:r>
        <w:t>’</w:t>
      </w:r>
      <w:r w:rsidRPr="00823A78">
        <w:t>s June 2011 retirement announcement, there was a significant expansion in the environmental regulatory state.  This state of affairs was particularly impactful for the Welsh Units, due to the “obvious but rarely discussed risk that all three Welsh Units were operating fully uncontrolled for expected, more stringent environmental requirement.”</w:t>
      </w:r>
      <w:r w:rsidRPr="00823A78">
        <w:rPr>
          <w:vertAlign w:val="superscript"/>
        </w:rPr>
        <w:footnoteReference w:id="138"/>
      </w:r>
      <w:r w:rsidRPr="00823A78">
        <w:t xml:space="preserve">  Numerous then-existing and evolving regulations potentially affected Welsh Unit 2, as well as new regulations being proposed and finalized by the EPA.  Depending on the timing, scope, and numerous other factors, the cumulative effect of these rules would lead to the requirement for significant investments in pollution controls and potentially force the retirement of certain electric generating units.</w:t>
      </w:r>
      <w:r w:rsidRPr="00823A78">
        <w:rPr>
          <w:vertAlign w:val="superscript"/>
        </w:rPr>
        <w:footnoteReference w:id="139"/>
      </w:r>
      <w:r w:rsidRPr="00823A78">
        <w:t xml:space="preserve">     </w:t>
      </w:r>
      <w:r w:rsidRPr="00823A78">
        <w:rPr>
          <w:i/>
        </w:rPr>
        <w:t xml:space="preserve"> </w:t>
      </w:r>
      <w:r w:rsidRPr="00823A78">
        <w:t xml:space="preserve">     </w:t>
      </w:r>
    </w:p>
    <w:p w14:paraId="30F3CD2E" w14:textId="77777777" w:rsidR="007021FD" w:rsidRPr="00823A78" w:rsidRDefault="007021FD" w:rsidP="007021FD">
      <w:r w:rsidRPr="00823A78">
        <w:lastRenderedPageBreak/>
        <w:t>In early 2011, SWEPCO estimated that relying solely on  equipment controls for compliance with the approved and impending EPA regulations would cost more than $2 billion for Flint Creek, Welsh Units 1, 2, and 3, and Pirkey combined.  About 75%, or more than $1.6 billion of the estimated cost to SWEPCO at the time, was attributed to the environmental controls at the Welsh Plant, with an estimated cost of more than $500 million for each of these Welsh units.</w:t>
      </w:r>
      <w:r w:rsidRPr="00823A78">
        <w:rPr>
          <w:vertAlign w:val="superscript"/>
        </w:rPr>
        <w:footnoteReference w:id="140"/>
      </w:r>
      <w:r w:rsidRPr="00823A78">
        <w:t xml:space="preserve">  Welsh Unit 1, 2 and 3 disposition analyses were conducted on a monthly basis from January 2011 through May 2011, </w:t>
      </w:r>
      <w:r w:rsidR="00B75A84">
        <w:t>before</w:t>
      </w:r>
      <w:r w:rsidRPr="00823A78">
        <w:t xml:space="preserve"> the June 9, 2011 press release announcing SWEPCO’s Welsh, Flint Creek and Pirkey unit disposition decisions.</w:t>
      </w:r>
      <w:r w:rsidRPr="00823A78">
        <w:rPr>
          <w:vertAlign w:val="superscript"/>
        </w:rPr>
        <w:footnoteReference w:id="141"/>
      </w:r>
      <w:r w:rsidRPr="00823A78">
        <w:t xml:space="preserve">  </w:t>
      </w:r>
    </w:p>
    <w:p w14:paraId="14132FD6" w14:textId="77777777" w:rsidR="007021FD" w:rsidRPr="00823A78" w:rsidRDefault="007021FD" w:rsidP="007021FD">
      <w:r w:rsidRPr="00823A78">
        <w:t xml:space="preserve">While SWEPCO’s Welsh Unit 2 unit disposition analysis showed several scenarios under which it was more economical to retire than </w:t>
      </w:r>
      <w:r w:rsidR="0017782F">
        <w:t xml:space="preserve">to </w:t>
      </w:r>
      <w:r w:rsidRPr="00823A78">
        <w:t>retrofit the unit,</w:t>
      </w:r>
      <w:r w:rsidRPr="00823A78">
        <w:rPr>
          <w:vertAlign w:val="superscript"/>
        </w:rPr>
        <w:footnoteReference w:id="142"/>
      </w:r>
      <w:r w:rsidRPr="00823A78">
        <w:t xml:space="preserve"> the early 2011 economic analyses regarding Welsh Unit 2 were “less conclusive” than for the other units SWEPCO decided to retrofit.</w:t>
      </w:r>
      <w:r w:rsidRPr="00823A78">
        <w:rPr>
          <w:vertAlign w:val="superscript"/>
        </w:rPr>
        <w:footnoteReference w:id="143"/>
      </w:r>
      <w:r w:rsidRPr="00823A78">
        <w:t xml:space="preserve">  </w:t>
      </w:r>
      <w:r w:rsidR="004E30CB">
        <w:t>As explained by Ms. McCellon Allen:</w:t>
      </w:r>
    </w:p>
    <w:p w14:paraId="3F1EDB37" w14:textId="77777777" w:rsidR="007021FD" w:rsidRDefault="007021FD" w:rsidP="00B75A84">
      <w:pPr>
        <w:spacing w:line="240" w:lineRule="auto"/>
        <w:ind w:left="720" w:right="720" w:firstLine="0"/>
      </w:pPr>
      <w:r w:rsidRPr="00823A78">
        <w:t>Given these results and the magnitude of the estimated compliance capital costs at the time, SWEPCO then considered other objective and subjective factors, including the ability to fund the project and the effect on SWEPCO’s credit rating and financial health.  SWEPCO also considered updated load forecasts; the possible retirement of other units; the possibility of conversion of plants to natural gas or new gas build; and community and state impacts.</w:t>
      </w:r>
      <w:r w:rsidRPr="00823A78">
        <w:rPr>
          <w:vertAlign w:val="superscript"/>
        </w:rPr>
        <w:footnoteReference w:id="144"/>
      </w:r>
      <w:r w:rsidRPr="00823A78">
        <w:t xml:space="preserve">  </w:t>
      </w:r>
    </w:p>
    <w:p w14:paraId="1DCCA8D8" w14:textId="77777777" w:rsidR="007021FD" w:rsidRPr="00823A78" w:rsidRDefault="007021FD" w:rsidP="007021FD">
      <w:pPr>
        <w:spacing w:line="240" w:lineRule="auto"/>
        <w:ind w:left="720" w:right="720" w:firstLine="0"/>
      </w:pPr>
    </w:p>
    <w:p w14:paraId="4F763478" w14:textId="77777777" w:rsidR="007021FD" w:rsidRPr="00823A78" w:rsidRDefault="007021FD" w:rsidP="007021FD">
      <w:r w:rsidRPr="00823A78">
        <w:t>These considerations, based on the best-then available information, are discussed at length in the Direct Testimony of Ms. McCellon-Allen, and yielded the following determinations, among others, that support the retirement of Welsh Unit 2 as a reasonable alternative:</w:t>
      </w:r>
    </w:p>
    <w:p w14:paraId="04C7BCCF" w14:textId="77777777" w:rsidR="007021FD" w:rsidRDefault="007021FD" w:rsidP="00C34E60">
      <w:pPr>
        <w:numPr>
          <w:ilvl w:val="0"/>
          <w:numId w:val="36"/>
        </w:numPr>
        <w:spacing w:line="240" w:lineRule="auto"/>
      </w:pPr>
      <w:r w:rsidRPr="00823A78">
        <w:t>SWEPCO could not add the anticipated cost of the Welsh Unit 2 retrofits to those already planned without significant financial stress and threat to its creditworthiness;</w:t>
      </w:r>
      <w:r w:rsidRPr="00823A78">
        <w:rPr>
          <w:vertAlign w:val="superscript"/>
        </w:rPr>
        <w:footnoteReference w:id="145"/>
      </w:r>
    </w:p>
    <w:p w14:paraId="7DA3032C" w14:textId="77777777" w:rsidR="00C34E60" w:rsidRPr="00823A78" w:rsidRDefault="00C34E60" w:rsidP="00C34E60">
      <w:pPr>
        <w:spacing w:line="240" w:lineRule="auto"/>
        <w:ind w:left="837" w:firstLine="0"/>
      </w:pPr>
    </w:p>
    <w:p w14:paraId="71BDB51A" w14:textId="77777777" w:rsidR="007021FD" w:rsidRDefault="007021FD" w:rsidP="00C34E60">
      <w:pPr>
        <w:numPr>
          <w:ilvl w:val="0"/>
          <w:numId w:val="36"/>
        </w:numPr>
        <w:spacing w:line="240" w:lineRule="auto"/>
      </w:pPr>
      <w:r w:rsidRPr="00823A78">
        <w:t xml:space="preserve">Though SWEPCO still needed the Welsh Unit 2 capacity, the then-recent economic </w:t>
      </w:r>
      <w:r w:rsidRPr="00823A78">
        <w:lastRenderedPageBreak/>
        <w:t>downturn and recent load forecasts indicated that SWEPCO could reasonably meet reserve requirements by using a short term PPA for 100-250 MW of capacity until such time as a new plant was needed later in the decade or early 2020s;</w:t>
      </w:r>
      <w:r w:rsidRPr="00823A78">
        <w:rPr>
          <w:vertAlign w:val="superscript"/>
        </w:rPr>
        <w:footnoteReference w:id="146"/>
      </w:r>
      <w:r w:rsidRPr="00823A78">
        <w:t xml:space="preserve"> and</w:t>
      </w:r>
    </w:p>
    <w:p w14:paraId="15D9ABE5" w14:textId="77777777" w:rsidR="00C34E60" w:rsidRDefault="00C34E60" w:rsidP="00FB6023">
      <w:pPr>
        <w:pStyle w:val="ListParagraph"/>
        <w:spacing w:line="240" w:lineRule="auto"/>
      </w:pPr>
    </w:p>
    <w:p w14:paraId="5AA436FF" w14:textId="77777777" w:rsidR="007021FD" w:rsidRDefault="007021FD" w:rsidP="00C34E60">
      <w:pPr>
        <w:numPr>
          <w:ilvl w:val="0"/>
          <w:numId w:val="36"/>
        </w:numPr>
        <w:spacing w:line="240" w:lineRule="auto"/>
      </w:pPr>
      <w:r w:rsidRPr="00823A78">
        <w:t>Operational and reliability considerations made the retirement of other SWEPCO solid fuel units, in lieu of Welsh Unit 2, infeasible;</w:t>
      </w:r>
      <w:r w:rsidRPr="00823A78">
        <w:rPr>
          <w:vertAlign w:val="superscript"/>
        </w:rPr>
        <w:footnoteReference w:id="147"/>
      </w:r>
    </w:p>
    <w:p w14:paraId="68DEC76D" w14:textId="77777777" w:rsidR="00C34E60" w:rsidRPr="00823A78" w:rsidRDefault="00C34E60" w:rsidP="00C34E60">
      <w:pPr>
        <w:spacing w:line="240" w:lineRule="auto"/>
        <w:ind w:left="837" w:firstLine="0"/>
      </w:pPr>
    </w:p>
    <w:p w14:paraId="459584ED" w14:textId="77777777" w:rsidR="007021FD" w:rsidRPr="00823A78" w:rsidRDefault="007021FD" w:rsidP="007021FD">
      <w:r w:rsidRPr="00823A78">
        <w:t>In sum, SWEPCO examined a range of reasonable options, then considered and selected a reasonable alternative from those options based on information and circumstances at the time.  The decision to retire Welsh Unit 2 was therefore a prudent one.</w:t>
      </w:r>
    </w:p>
    <w:p w14:paraId="14195A42" w14:textId="77777777" w:rsidR="007021FD" w:rsidRDefault="007021FD" w:rsidP="007021FD">
      <w:pPr>
        <w:spacing w:line="240" w:lineRule="auto"/>
        <w:ind w:left="720" w:firstLine="0"/>
        <w:rPr>
          <w:b/>
          <w:i/>
        </w:rPr>
      </w:pPr>
      <w:r w:rsidRPr="00D440BB">
        <w:rPr>
          <w:b/>
          <w:i/>
        </w:rPr>
        <w:t>CARD’s Exceptions Overlook the Bigger Picture in Terms of the Factors Reasonably Supporting Retirement of Welsh Unit 2.</w:t>
      </w:r>
    </w:p>
    <w:p w14:paraId="2BA84781" w14:textId="77777777" w:rsidR="007021FD" w:rsidRPr="00D440BB" w:rsidRDefault="007021FD" w:rsidP="007021FD">
      <w:pPr>
        <w:spacing w:line="240" w:lineRule="auto"/>
        <w:ind w:left="720" w:firstLine="0"/>
        <w:rPr>
          <w:b/>
          <w:i/>
        </w:rPr>
      </w:pPr>
    </w:p>
    <w:p w14:paraId="71CBFC2C" w14:textId="77777777" w:rsidR="007021FD" w:rsidRPr="00823A78" w:rsidRDefault="007021FD" w:rsidP="007021FD">
      <w:r w:rsidRPr="00823A78">
        <w:t xml:space="preserve">CARD’s exceptions focus almost exclusively on short term considerations in 2011-2012, suggesting that if SWEPCO had just bided its time and been more flexible, it would have become clear that Welsh Unit 2 need not be retired.  SWEPCO discusses below why the picture sketched by CARD of that time period is inaccurate.  Before doing so, however, it is also important to point out, as the ALJs recognized, that there were other considerations in addition to the looming short term environmental compliance deadlines “that made retirement of that plant a prudent </w:t>
      </w:r>
      <w:r w:rsidR="00F478BE">
        <w:t>[decision]</w:t>
      </w:r>
      <w:r w:rsidRPr="00823A78">
        <w:t xml:space="preserve"> for SWEPCO’s portfolio management.”</w:t>
      </w:r>
      <w:r w:rsidRPr="00823A78">
        <w:rPr>
          <w:vertAlign w:val="superscript"/>
        </w:rPr>
        <w:footnoteReference w:id="148"/>
      </w:r>
    </w:p>
    <w:p w14:paraId="39961BCC" w14:textId="77777777" w:rsidR="007021FD" w:rsidRPr="00823A78" w:rsidRDefault="007021FD" w:rsidP="007021FD">
      <w:r w:rsidRPr="00823A78">
        <w:t>The impact of costly and uncertain environmental regulations was not limited just to circumstances facing the Company in 2011.  “The coal units at the Welsh facility that were put into service between 1977 and 1982 were fully uncontrolled for a modern era of emission standards or emission requirements.</w:t>
      </w:r>
      <w:r w:rsidRPr="00823A78">
        <w:rPr>
          <w:vertAlign w:val="superscript"/>
        </w:rPr>
        <w:footnoteReference w:id="149"/>
      </w:r>
      <w:r w:rsidRPr="00823A78">
        <w:t xml:space="preserve">  The threat of a Prevention of Significant Deterioration (PSD) increment violation at Caney Creek, existent since 2005, was hanging over the Welsh Units (other than Unit 1) on a more or less permanent basis.</w:t>
      </w:r>
      <w:r w:rsidRPr="00823A78">
        <w:rPr>
          <w:vertAlign w:val="superscript"/>
        </w:rPr>
        <w:footnoteReference w:id="150"/>
      </w:r>
      <w:r w:rsidRPr="00823A78">
        <w:t xml:space="preserve">  SWEPCO reasonably believed </w:t>
      </w:r>
      <w:r w:rsidRPr="00823A78">
        <w:lastRenderedPageBreak/>
        <w:t>that the uncontrolled status of Welsh Unit 2 could at some time in the future, not only in response to the particular regulations and programs in play in early 2011, lead to requirements for installation of extensive and expensive new controls.</w:t>
      </w:r>
      <w:r w:rsidRPr="00823A78">
        <w:rPr>
          <w:vertAlign w:val="superscript"/>
        </w:rPr>
        <w:footnoteReference w:id="151"/>
      </w:r>
      <w:r w:rsidRPr="00823A78">
        <w:t xml:space="preserve">  That longer term strategic risk assessment has proven to be accurate.</w:t>
      </w:r>
      <w:r w:rsidRPr="00823A78">
        <w:rPr>
          <w:vertAlign w:val="superscript"/>
        </w:rPr>
        <w:footnoteReference w:id="152"/>
      </w:r>
      <w:r w:rsidRPr="00823A78">
        <w:t xml:space="preserve">  The hedging strategy employed by SWEPCO (retrofitting some and retiring other units) was a well-reasoned, prudent choice in the face of these long term risks. </w:t>
      </w:r>
    </w:p>
    <w:p w14:paraId="4EB525AB" w14:textId="77777777" w:rsidR="007021FD" w:rsidRPr="00823A78" w:rsidRDefault="007021FD" w:rsidP="007021FD">
      <w:r w:rsidRPr="00823A78">
        <w:t>Since the 1970s</w:t>
      </w:r>
      <w:r w:rsidR="00F478BE">
        <w:t>,</w:t>
      </w:r>
      <w:r w:rsidRPr="00823A78">
        <w:t xml:space="preserve"> SWEPCO has employed a strategy incorporating a “balanced portfolio” approach to its generation resources, with the result of reasonable electric prices for its customers.</w:t>
      </w:r>
      <w:r w:rsidRPr="00823A78">
        <w:rPr>
          <w:vertAlign w:val="superscript"/>
        </w:rPr>
        <w:footnoteReference w:id="153"/>
      </w:r>
      <w:r w:rsidRPr="00823A78">
        <w:t xml:space="preserve">  Given the risks and uncertainties of future environmental compliance, the Company again implemented a balanced “strategic generation portfolio management decision,” combining retrofits and Welsh Unit 2 retirement.</w:t>
      </w:r>
      <w:r w:rsidRPr="00823A78">
        <w:rPr>
          <w:vertAlign w:val="superscript"/>
        </w:rPr>
        <w:footnoteReference w:id="154"/>
      </w:r>
      <w:r w:rsidRPr="00823A78">
        <w:t xml:space="preserve">  Ultimately, the retirement of Welsh Unit 2 significantly reduced the overall cost of the retrofits, served as a hedge against future known and unknown environmental compliance requirements, and managed capital so as to preserve SWEPCO’s creditworthiness.</w:t>
      </w:r>
      <w:r w:rsidRPr="00823A78">
        <w:rPr>
          <w:vertAlign w:val="superscript"/>
        </w:rPr>
        <w:footnoteReference w:id="155"/>
      </w:r>
      <w:r w:rsidRPr="00823A78">
        <w:t xml:space="preserve">  For all these reasons, the retirement of Welsh Unit 2 was a reasonable alternative for SWEPCO management to select.  </w:t>
      </w:r>
    </w:p>
    <w:p w14:paraId="1672F2AE" w14:textId="77777777" w:rsidR="007021FD" w:rsidRPr="00377AAE" w:rsidRDefault="007021FD" w:rsidP="007021FD">
      <w:pPr>
        <w:rPr>
          <w:b/>
          <w:i/>
        </w:rPr>
      </w:pPr>
      <w:r w:rsidRPr="00377AAE">
        <w:rPr>
          <w:b/>
          <w:i/>
        </w:rPr>
        <w:t>SWEPCO Reasonably Evaluated Environmental Compliance Issues in Early 2011.</w:t>
      </w:r>
    </w:p>
    <w:p w14:paraId="52D4C3B8" w14:textId="77777777" w:rsidR="007021FD" w:rsidRPr="00823A78" w:rsidRDefault="007021FD" w:rsidP="007021FD">
      <w:r w:rsidRPr="00823A78">
        <w:t xml:space="preserve">CARD claims that there were no regulations in place in 2011 that compelled SWEPCO to consider expensive FGD and </w:t>
      </w:r>
      <w:r>
        <w:t>Selective Catalytic Reduction (</w:t>
      </w:r>
      <w:r w:rsidRPr="00823A78">
        <w:t>SCR</w:t>
      </w:r>
      <w:r>
        <w:t>)</w:t>
      </w:r>
      <w:r w:rsidRPr="00823A78">
        <w:t xml:space="preserve"> environmental controls and that SWEPCO was unreasonable in consistently including the eventual installation of </w:t>
      </w:r>
      <w:r w:rsidR="00F478BE">
        <w:t xml:space="preserve">such </w:t>
      </w:r>
      <w:r w:rsidRPr="00823A78">
        <w:t xml:space="preserve">controls (as well as imposition of a carbon tax) in its economic analyses.  To the contrary, as the </w:t>
      </w:r>
      <w:r w:rsidRPr="00823A78">
        <w:lastRenderedPageBreak/>
        <w:t xml:space="preserve">PFD properly recognized, the specific, anticipated environmental compliance threats in the </w:t>
      </w:r>
      <w:r>
        <w:t>e</w:t>
      </w:r>
      <w:r w:rsidRPr="00823A78">
        <w:t xml:space="preserve">arly 2011 time period justified SWEPCO’s actions as a reasonable approach to its economic assessment of Welsh Unit 2.   </w:t>
      </w:r>
    </w:p>
    <w:p w14:paraId="476540C3" w14:textId="77777777" w:rsidR="007021FD" w:rsidRPr="00823A78" w:rsidRDefault="007021FD" w:rsidP="007021FD">
      <w:r w:rsidRPr="00823A78">
        <w:t>As an initial matter, EPA regulations do not general</w:t>
      </w:r>
      <w:r w:rsidR="00F478BE">
        <w:t>ly</w:t>
      </w:r>
      <w:r w:rsidRPr="00823A78">
        <w:t xml:space="preserve"> require the installation of specific technologies.  As SWEPCO witness Mr. Hendricks (AEPSC’s Director of Air Quality Services) observes, the EPA “may require plants to meet specified emission limits, or reduce emissions to a level such that modeled impacts are acceptable, but the agency rarely specifies a particular technology be installed for compliance.”</w:t>
      </w:r>
      <w:r w:rsidRPr="00823A78">
        <w:rPr>
          <w:vertAlign w:val="superscript"/>
        </w:rPr>
        <w:footnoteReference w:id="156"/>
      </w:r>
      <w:r w:rsidRPr="00823A78">
        <w:t xml:space="preserve">  Therefore, the question is not whether any specific regulation “required” the installation of FGD or SCR technology but, rather, whether the circumstances at the time supported a reasonable belief that these emissions control technologies would be necessary to meet the emissions requirements of then existing or expected regulations.</w:t>
      </w:r>
    </w:p>
    <w:p w14:paraId="1272474B" w14:textId="77777777" w:rsidR="007021FD" w:rsidRPr="00823A78" w:rsidRDefault="007021FD" w:rsidP="007021FD">
      <w:r w:rsidRPr="00823A78">
        <w:t xml:space="preserve">CARD is wrong in claiming that the then-current circumstances would compel a reasonable utility manager to make the alternative assumption that no such environmental requirements were going to arise.  The long term strategic risk assessment discussed above supports SWEPCO’s approach.  Moreover, there were multiple compelling bases for reasonably considering scrubber (FGD) and SCR technology as a necessary emission reduction component for Welsh Unit 2.  </w:t>
      </w:r>
    </w:p>
    <w:p w14:paraId="4525C28A" w14:textId="77777777" w:rsidR="007021FD" w:rsidRPr="00823A78" w:rsidRDefault="007021FD" w:rsidP="007021FD">
      <w:r w:rsidRPr="00823A78">
        <w:t>First, resolution of the ongoing Welsh PSD increment exceedance issues could require a scrubber at any time in the future.</w:t>
      </w:r>
      <w:r w:rsidRPr="00823A78">
        <w:rPr>
          <w:vertAlign w:val="superscript"/>
        </w:rPr>
        <w:footnoteReference w:id="157"/>
      </w:r>
      <w:r w:rsidRPr="00823A78">
        <w:t xml:space="preserve">  Second, CARD itself affirmatively argued that a way to address RHR issues associated with the Welsh units would be “to retrofit one or more of the Welsh Units with scrubbers.”</w:t>
      </w:r>
      <w:r w:rsidRPr="00823A78">
        <w:rPr>
          <w:vertAlign w:val="superscript"/>
        </w:rPr>
        <w:footnoteReference w:id="158"/>
      </w:r>
      <w:r w:rsidRPr="00823A78">
        <w:t xml:space="preserve">  Third, the Sulfur Dioxide (SO</w:t>
      </w:r>
      <w:r w:rsidRPr="00823A78">
        <w:rPr>
          <w:vertAlign w:val="subscript"/>
        </w:rPr>
        <w:t>2</w:t>
      </w:r>
      <w:r w:rsidRPr="00823A78">
        <w:t>) National Ambient Air Quality Standard (NAAQS) had already been greatly lowered by early 2011, with Welsh units showing “significant exceedances,” which could drive a requirement to install a scrubber by August 2017.</w:t>
      </w:r>
      <w:r w:rsidRPr="00823A78">
        <w:rPr>
          <w:vertAlign w:val="superscript"/>
        </w:rPr>
        <w:footnoteReference w:id="159"/>
      </w:r>
      <w:r w:rsidRPr="00823A78">
        <w:t xml:space="preserve">  Fourth, the MATS rule, which also could require scrubbers,</w:t>
      </w:r>
      <w:r w:rsidRPr="00823A78">
        <w:rPr>
          <w:vertAlign w:val="superscript"/>
        </w:rPr>
        <w:footnoteReference w:id="160"/>
      </w:r>
      <w:r w:rsidRPr="00823A78">
        <w:t xml:space="preserve"> led to the retirement of </w:t>
      </w:r>
      <w:r w:rsidRPr="00823A78">
        <w:lastRenderedPageBreak/>
        <w:t>more than 62 GW of coal-fired capacity by the end of the MATs compliance period.</w:t>
      </w:r>
      <w:r w:rsidRPr="00823A78">
        <w:rPr>
          <w:vertAlign w:val="superscript"/>
        </w:rPr>
        <w:footnoteReference w:id="161"/>
      </w:r>
      <w:r w:rsidRPr="00823A78">
        <w:t xml:space="preserve">  </w:t>
      </w:r>
    </w:p>
    <w:p w14:paraId="54A50E1C" w14:textId="77777777" w:rsidR="007021FD" w:rsidRPr="00823A78" w:rsidRDefault="007021FD" w:rsidP="007021FD">
      <w:r w:rsidRPr="00823A78">
        <w:t>SWEPCO did employ environmental compliance sensitivities in its disposition studies, including the delayed installation until the mid-2020s of FGD and SCR systems at the Welsh Units, including Welsh Unit 2.</w:t>
      </w:r>
      <w:r w:rsidRPr="00823A78">
        <w:rPr>
          <w:vertAlign w:val="superscript"/>
        </w:rPr>
        <w:footnoteReference w:id="162"/>
      </w:r>
      <w:r w:rsidRPr="00823A78">
        <w:t xml:space="preserve">  Sierra Club witness Ms. Wilson testified that FGD retrofits would be needed at the Welsh plant by 2022 to meet the requirements of </w:t>
      </w:r>
      <w:r w:rsidR="00F478BE">
        <w:t xml:space="preserve">the </w:t>
      </w:r>
      <w:r w:rsidRPr="00823A78">
        <w:t>Texas Regional Haze Federal Implementation Plan (FIP).  In the January 2011 through April 2011 Welsh plant unit disposition analyses, SWEPCO studied FGDs installed in 2019 or 2020.  However, in the May 2011 analysis SWEPCO analyzed FGD retrofits in the mid-2020s.</w:t>
      </w:r>
      <w:r w:rsidRPr="00823A78">
        <w:rPr>
          <w:vertAlign w:val="superscript"/>
        </w:rPr>
        <w:footnoteReference w:id="163"/>
      </w:r>
      <w:r w:rsidRPr="00823A78">
        <w:t xml:space="preserve">  Even had SWEPCO had added a sensitivity of no significant retrofits at Welsh Unit 2, as suggested by CARD, CARD cites no fact or circumstances in the 2011 time frame that would </w:t>
      </w:r>
      <w:r w:rsidR="00F478BE">
        <w:t>coompel</w:t>
      </w:r>
      <w:r w:rsidRPr="00823A78">
        <w:t xml:space="preserve"> a reasonable utility manager to adopt a different course than the one SWEPCO ultimately chose to follow.</w:t>
      </w:r>
      <w:r w:rsidRPr="00823A78">
        <w:rPr>
          <w:vertAlign w:val="superscript"/>
        </w:rPr>
        <w:footnoteReference w:id="164"/>
      </w:r>
    </w:p>
    <w:p w14:paraId="5B1B2A2D" w14:textId="77777777" w:rsidR="007021FD" w:rsidRPr="00823A78" w:rsidRDefault="007021FD" w:rsidP="007021FD">
      <w:r w:rsidRPr="00823A78">
        <w:t xml:space="preserve">Similarly, regarding SCR technology, by 2011, the Cross State Air Pollution Rule (CSAPR), which could trigger SCR installation, was “practically </w:t>
      </w:r>
      <w:proofErr w:type="gramStart"/>
      <w:r w:rsidRPr="00823A78">
        <w:t>an inevitability</w:t>
      </w:r>
      <w:proofErr w:type="gramEnd"/>
      <w:r w:rsidRPr="00823A78">
        <w:t>.”</w:t>
      </w:r>
      <w:r w:rsidRPr="00823A78">
        <w:rPr>
          <w:vertAlign w:val="superscript"/>
        </w:rPr>
        <w:footnoteReference w:id="165"/>
      </w:r>
      <w:r w:rsidRPr="00823A78">
        <w:t xml:space="preserve">  SWEPCO’s information in early 2011 was that EPA had already proposed an ozone NAAQS standard reduction, to be finalized in 2011, that, depending on its stringency, could well necessitate SCR installation at the Welsh plant.</w:t>
      </w:r>
      <w:r w:rsidRPr="00823A78">
        <w:rPr>
          <w:vertAlign w:val="superscript"/>
        </w:rPr>
        <w:footnoteReference w:id="166"/>
      </w:r>
      <w:r w:rsidRPr="00823A78">
        <w:t xml:space="preserve">  Moreover, at the time of the retirement decision, it was expected in the electric industry that the combined CSAPR and MATS rules would require installation of FGD and SCR controls.  In support of SWEPCO’s Early 2011 analyses and assessment, several studies performed in 2010 and 2011 concluded that a large number of bituminous and lignite coal-fired units would be required to retire in the face of the </w:t>
      </w:r>
      <w:r w:rsidRPr="00823A78">
        <w:lastRenderedPageBreak/>
        <w:t>substantial retrofit costs associated with the MATS and CSAPR programs.</w:t>
      </w:r>
      <w:r w:rsidRPr="00823A78">
        <w:rPr>
          <w:vertAlign w:val="superscript"/>
        </w:rPr>
        <w:footnoteReference w:id="167"/>
      </w:r>
      <w:r w:rsidRPr="00823A78">
        <w:t xml:space="preserve">  </w:t>
      </w:r>
    </w:p>
    <w:p w14:paraId="3C2DF0AA" w14:textId="77777777" w:rsidR="007021FD" w:rsidRPr="00823A78" w:rsidRDefault="007021FD" w:rsidP="007021FD">
      <w:r w:rsidRPr="00823A78">
        <w:t>Finally, although SWEPCO did utilize different sensitivities regarding carbon prices (including a no carbon tax scenario),</w:t>
      </w:r>
      <w:r w:rsidRPr="00823A78">
        <w:rPr>
          <w:vertAlign w:val="superscript"/>
        </w:rPr>
        <w:footnoteReference w:id="168"/>
      </w:r>
      <w:r w:rsidRPr="00823A78">
        <w:t xml:space="preserve"> the combination of the U. S. Supreme Court’s decision in </w:t>
      </w:r>
      <w:r w:rsidRPr="00823A78">
        <w:rPr>
          <w:i/>
        </w:rPr>
        <w:t>Massachusetts v. EPA</w:t>
      </w:r>
      <w:r w:rsidRPr="00823A78">
        <w:t>, EPA’s carbon pollution endangerment finding under the Clean Air Act, and a subsequent settlement agreement</w:t>
      </w:r>
      <w:r w:rsidR="00F478BE">
        <w:t>,</w:t>
      </w:r>
      <w:r w:rsidRPr="00823A78">
        <w:t xml:space="preserve"> required the EPA to regulate carbon emissions from power plants by a date certain.</w:t>
      </w:r>
      <w:r w:rsidRPr="00823A78">
        <w:rPr>
          <w:vertAlign w:val="superscript"/>
        </w:rPr>
        <w:footnoteReference w:id="169"/>
      </w:r>
      <w:r w:rsidRPr="00823A78">
        <w:t xml:space="preserve">  In light of these facts and circumstances, incorporation of compliance with carbon regulations into a utility resource disposition analysis was clearly a reasonable alternative.</w:t>
      </w:r>
      <w:r w:rsidRPr="00823A78">
        <w:rPr>
          <w:vertAlign w:val="superscript"/>
        </w:rPr>
        <w:footnoteReference w:id="170"/>
      </w:r>
      <w:r w:rsidRPr="00823A78">
        <w:t xml:space="preserve">  </w:t>
      </w:r>
    </w:p>
    <w:p w14:paraId="49768E50" w14:textId="77777777" w:rsidR="007021FD" w:rsidRPr="00823A78" w:rsidRDefault="007021FD" w:rsidP="007021FD">
      <w:r w:rsidRPr="00823A78">
        <w:t>Consistent with this view, in 2008 the Commission found that the potential for imposition of future carbon costs should be taken into account in considering whether to grant SWEPCO a CCN for the Turk Plant construction, ultimately leading to the imposition of a carbon cost cap as part of the Turk Plant CCN.</w:t>
      </w:r>
      <w:r w:rsidRPr="00823A78">
        <w:rPr>
          <w:vertAlign w:val="superscript"/>
        </w:rPr>
        <w:footnoteReference w:id="171"/>
      </w:r>
      <w:r w:rsidRPr="00823A78">
        <w:t xml:space="preserve">  Sierra Club witness Ms. Wilson’s chart on page 39 of her direct testimony shows that many utilities were incorporating carbon pricing into resource planning at the time.</w:t>
      </w:r>
      <w:r w:rsidRPr="00823A78">
        <w:rPr>
          <w:vertAlign w:val="superscript"/>
        </w:rPr>
        <w:footnoteReference w:id="172"/>
      </w:r>
      <w:r w:rsidRPr="00823A78">
        <w:t xml:space="preserve">  SWEPCO witness Mr. Hendricks, a seasoned observer with decades of experience in the environmental regulatory field,</w:t>
      </w:r>
      <w:r w:rsidRPr="00823A78">
        <w:rPr>
          <w:vertAlign w:val="superscript"/>
        </w:rPr>
        <w:footnoteReference w:id="173"/>
      </w:r>
      <w:r w:rsidRPr="00823A78">
        <w:t xml:space="preserve"> explained that though the expectation of carbon regulation was not </w:t>
      </w:r>
      <w:r>
        <w:t>“one hundred percent</w:t>
      </w:r>
      <w:r w:rsidR="00B75A84">
        <w:t xml:space="preserve"> </w:t>
      </w:r>
      <w:r w:rsidRPr="00823A78">
        <w:t>. . . [it was] highly likely given the [then] current administration and the EPA.  It was certainly aggressive in many areas including greenhouse gases.”</w:t>
      </w:r>
      <w:r w:rsidRPr="00823A78">
        <w:rPr>
          <w:vertAlign w:val="superscript"/>
        </w:rPr>
        <w:footnoteReference w:id="174"/>
      </w:r>
      <w:r w:rsidRPr="00823A78">
        <w:t xml:space="preserve">  CARD has consequently failed to offer any persuasive basis for concluding that </w:t>
      </w:r>
      <w:r w:rsidRPr="00823A78">
        <w:lastRenderedPageBreak/>
        <w:t xml:space="preserve">SWEPCO’s inclusion of FGD, SCR and carbon costs in its retirement analysis had no reasonable basis or was imprudent. </w:t>
      </w:r>
    </w:p>
    <w:p w14:paraId="643E63C2" w14:textId="77777777" w:rsidR="007021FD" w:rsidRPr="00377AAE" w:rsidRDefault="007021FD" w:rsidP="007021FD">
      <w:pPr>
        <w:spacing w:after="120" w:line="240" w:lineRule="auto"/>
        <w:ind w:left="720" w:firstLine="0"/>
        <w:rPr>
          <w:b/>
          <w:i/>
        </w:rPr>
      </w:pPr>
      <w:r w:rsidRPr="00377AAE">
        <w:rPr>
          <w:b/>
          <w:i/>
        </w:rPr>
        <w:t>It was not Imprudent for SWEPCO Management to Reject CARD’s “Wait and See” Approach.</w:t>
      </w:r>
    </w:p>
    <w:p w14:paraId="4885FB5E" w14:textId="77777777" w:rsidR="007021FD" w:rsidRPr="00823A78" w:rsidRDefault="007021FD" w:rsidP="007021FD">
      <w:r w:rsidRPr="00823A78">
        <w:t xml:space="preserve">With the benefit of hindsight, CARD claims that SWEPCO was imprudent in not changing course in 2012 regarding the retirement of Welsh Unit 2 when, as matters developed, SWEPCO’s technology evaluation pointed to reduced costs for achieving compliance with applicable compliance requirements at the </w:t>
      </w:r>
      <w:r w:rsidR="00F478BE">
        <w:t xml:space="preserve">other </w:t>
      </w:r>
      <w:r w:rsidRPr="00823A78">
        <w:t>Welsh units.  CARD claims that as SWEPCO was able to incorporate these revised technology evaluations into the retrofit of Welsh Units 1 and 3, it should likewise have been able to delay a Welsh Unit 2 retirement decision.</w:t>
      </w:r>
    </w:p>
    <w:p w14:paraId="57092295" w14:textId="77777777" w:rsidR="007021FD" w:rsidRPr="00823A78" w:rsidRDefault="007021FD" w:rsidP="007021FD">
      <w:r w:rsidRPr="00823A78">
        <w:t>CARD’s “wait-and-see” approach to compliance with environmental regulations, however, is inconsistent with the practical realities faced by SWEPCO, which depended on timely environmental compliance and required prudent advance planning.</w:t>
      </w:r>
      <w:r w:rsidRPr="00823A78">
        <w:rPr>
          <w:vertAlign w:val="superscript"/>
        </w:rPr>
        <w:footnoteReference w:id="175"/>
      </w:r>
      <w:r w:rsidRPr="00823A78">
        <w:t xml:space="preserve">  In fact, such an approach borders on self-destruction given the complex logistics and lead time required for compliance, not to mention the penalties and fines for non-compliance.  The implication of CARD’s position is that rules should be addressed one at a time, as they are finalized,</w:t>
      </w:r>
      <w:r w:rsidRPr="00823A78">
        <w:rPr>
          <w:vertAlign w:val="superscript"/>
        </w:rPr>
        <w:footnoteReference w:id="176"/>
      </w:r>
      <w:r w:rsidRPr="00823A78">
        <w:t xml:space="preserve"> an approach that negates any reasoned long term strategic planning for investments in, or retirements of, electric generating units.  It ignores the practical reality that compliance with any particular regulation through installation of emission controls will involve development, as well as regulatory and construction lead times that must be compared to the compliance deadline associated with the particular rule or program.</w:t>
      </w:r>
      <w:r w:rsidRPr="00823A78">
        <w:rPr>
          <w:vertAlign w:val="superscript"/>
        </w:rPr>
        <w:footnoteReference w:id="177"/>
      </w:r>
      <w:r w:rsidRPr="00823A78">
        <w:t xml:space="preserve">  The testimony of Mr. Hendricks and Mr. Nasi</w:t>
      </w:r>
      <w:r w:rsidRPr="00823A78">
        <w:rPr>
          <w:vertAlign w:val="superscript"/>
        </w:rPr>
        <w:footnoteReference w:id="178"/>
      </w:r>
      <w:r w:rsidRPr="00823A78">
        <w:t xml:space="preserve"> clearly demonstrates that, contrary to Mr. Norwood’s thesis, the environmental rules in controversy at the time of the retirement decision “had legs,” and required a proactive and decisive response from the Company.</w:t>
      </w:r>
      <w:r w:rsidRPr="00823A78">
        <w:rPr>
          <w:vertAlign w:val="superscript"/>
        </w:rPr>
        <w:footnoteReference w:id="179"/>
      </w:r>
      <w:r w:rsidRPr="00823A78">
        <w:t xml:space="preserve">  </w:t>
      </w:r>
    </w:p>
    <w:p w14:paraId="14809B61" w14:textId="77777777" w:rsidR="007021FD" w:rsidRPr="00823A78" w:rsidRDefault="007021FD" w:rsidP="007021FD">
      <w:r w:rsidRPr="00823A78">
        <w:lastRenderedPageBreak/>
        <w:t>CARD fails to account for compliance deadlines that drove the retirement decision.</w:t>
      </w:r>
      <w:r w:rsidRPr="00823A78">
        <w:rPr>
          <w:vertAlign w:val="superscript"/>
        </w:rPr>
        <w:footnoteReference w:id="180"/>
      </w:r>
      <w:r w:rsidRPr="00823A78">
        <w:t xml:space="preserve">  Mr. Norwood asserts SWEPCO should have re-evaluated the prudence of retiring Welsh Unit 2 based on the </w:t>
      </w:r>
      <w:proofErr w:type="gramStart"/>
      <w:r w:rsidRPr="00823A78">
        <w:t>Spring</w:t>
      </w:r>
      <w:proofErr w:type="gramEnd"/>
      <w:r w:rsidRPr="00823A78">
        <w:t xml:space="preserve"> 2012 environmental compliance assessment,</w:t>
      </w:r>
      <w:r w:rsidRPr="00823A78">
        <w:rPr>
          <w:vertAlign w:val="superscript"/>
        </w:rPr>
        <w:footnoteReference w:id="181"/>
      </w:r>
      <w:r w:rsidRPr="00823A78">
        <w:t xml:space="preserve"> but fails to acknowledge the fact that the decision to retire Welsh Unit 2 came almost a year before, and was reasonable given the circumstances then facing SWEPCO.  Timing was particularly critical given the MATS Rule requirements.  At the time the MATS Rule was proposed, it contemplated a three-year compliance window, with the potential for a state-issued, one-year extension if necessary for the installation of controls.</w:t>
      </w:r>
      <w:r w:rsidRPr="00823A78">
        <w:rPr>
          <w:vertAlign w:val="superscript"/>
        </w:rPr>
        <w:footnoteReference w:id="182"/>
      </w:r>
      <w:r w:rsidRPr="00823A78">
        <w:t xml:space="preserve">  These compliance dates for MATS rule loomed large for generators during this time, even those with existing scrubbers.</w:t>
      </w:r>
      <w:r w:rsidRPr="00823A78">
        <w:rPr>
          <w:vertAlign w:val="superscript"/>
        </w:rPr>
        <w:footnoteReference w:id="183"/>
      </w:r>
      <w:r w:rsidRPr="00823A78">
        <w:t xml:space="preserve">  NAAQS implementation requirements and deadlines applicable to the Welsh Units, which were reasonably believed to require installation of a scrubber, followed quickly on MATS deadlines.</w:t>
      </w:r>
      <w:r w:rsidRPr="00823A78">
        <w:rPr>
          <w:vertAlign w:val="superscript"/>
        </w:rPr>
        <w:footnoteReference w:id="184"/>
      </w:r>
      <w:r w:rsidRPr="00823A78">
        <w:t xml:space="preserve">  The presentations to the Commission of SWEPCO and others in the summer of 2011 highlighted the difficulty presented by these compliance deadlines.</w:t>
      </w:r>
      <w:r w:rsidRPr="00823A78">
        <w:rPr>
          <w:vertAlign w:val="superscript"/>
        </w:rPr>
        <w:footnoteReference w:id="185"/>
      </w:r>
      <w:r w:rsidRPr="00823A78">
        <w:t xml:space="preserve">   </w:t>
      </w:r>
    </w:p>
    <w:p w14:paraId="24D58546" w14:textId="77777777" w:rsidR="007021FD" w:rsidRPr="00823A78" w:rsidRDefault="007021FD" w:rsidP="007021FD">
      <w:r w:rsidRPr="00823A78">
        <w:t xml:space="preserve">Indeed, EIA has reported:  </w:t>
      </w:r>
    </w:p>
    <w:p w14:paraId="2E668847" w14:textId="77777777" w:rsidR="007021FD" w:rsidRDefault="007021FD" w:rsidP="00B75A84">
      <w:pPr>
        <w:spacing w:line="240" w:lineRule="auto"/>
        <w:ind w:left="720" w:right="720" w:firstLine="0"/>
      </w:pPr>
      <w:r w:rsidRPr="00823A78">
        <w:t>About 30% of the coal capacity that retired in 2015 occurred in April, which is when the U.S. Environmental Protection Agency</w:t>
      </w:r>
      <w:r>
        <w:t>’</w:t>
      </w:r>
      <w:r w:rsidRPr="00823A78">
        <w:t>s MATS rule went into effect. Some coal plants applied for and received one-year extensions, meaning that many of the coal retirements expected in 2016 will likely also occur in April.</w:t>
      </w:r>
      <w:r w:rsidRPr="00823A78">
        <w:rPr>
          <w:vertAlign w:val="superscript"/>
        </w:rPr>
        <w:footnoteReference w:id="186"/>
      </w:r>
      <w:r w:rsidRPr="00823A78">
        <w:t xml:space="preserve">  </w:t>
      </w:r>
    </w:p>
    <w:p w14:paraId="2E86C7F6" w14:textId="77777777" w:rsidR="007021FD" w:rsidRPr="00823A78" w:rsidRDefault="007021FD" w:rsidP="007021FD">
      <w:pPr>
        <w:spacing w:line="240" w:lineRule="auto"/>
        <w:ind w:left="720" w:right="720" w:firstLine="0"/>
      </w:pPr>
    </w:p>
    <w:p w14:paraId="03B1FCBE" w14:textId="77777777" w:rsidR="007021FD" w:rsidRPr="00823A78" w:rsidRDefault="007021FD" w:rsidP="007021FD">
      <w:r w:rsidRPr="00823A78">
        <w:t xml:space="preserve">Thus, SWEPCO had come to a juncture, in June 2011, when it reasonably concluded that the time had come to make a decision on retiring Welsh Unit </w:t>
      </w:r>
      <w:proofErr w:type="gramStart"/>
      <w:r w:rsidRPr="00823A78">
        <w:t>2,</w:t>
      </w:r>
      <w:proofErr w:type="gramEnd"/>
      <w:r w:rsidRPr="00823A78">
        <w:t xml:space="preserve"> else the looming environmental compliance timetable could overtake it.</w:t>
      </w:r>
      <w:r w:rsidRPr="00823A78">
        <w:rPr>
          <w:vertAlign w:val="superscript"/>
        </w:rPr>
        <w:footnoteReference w:id="187"/>
      </w:r>
      <w:r w:rsidRPr="00823A78">
        <w:t xml:space="preserve">  In short, SWEPCO chose a reasonable path in a very </w:t>
      </w:r>
      <w:r w:rsidRPr="00823A78">
        <w:lastRenderedPageBreak/>
        <w:t>complex and challenging set of circumstances in deciding to retire Welsh Unit 2.  In light of this reasonable commitment to Welsh Unit 2 retirement in June 2011, CARD’s claim that evolving facts arising in 2012 could have led to a different outcome is an exercise in impermissible hindsight.</w:t>
      </w:r>
    </w:p>
    <w:p w14:paraId="5E39A65D" w14:textId="77777777" w:rsidR="00111483" w:rsidRDefault="00111483" w:rsidP="003A17DF">
      <w:pPr>
        <w:pStyle w:val="Heading4"/>
        <w:numPr>
          <w:ilvl w:val="0"/>
          <w:numId w:val="41"/>
        </w:numPr>
      </w:pPr>
      <w:bookmarkStart w:id="22" w:name="_Toc497123819"/>
      <w:r w:rsidRPr="00823A78">
        <w:t>December</w:t>
      </w:r>
      <w:r>
        <w:t xml:space="preserve"> 2011 Sierra Club Settlement ($14 Million)</w:t>
      </w:r>
      <w:bookmarkEnd w:id="22"/>
    </w:p>
    <w:p w14:paraId="64B03777" w14:textId="77777777" w:rsidR="00111483" w:rsidRDefault="00111483" w:rsidP="00111483">
      <w:r>
        <w:t xml:space="preserve">CARD alone </w:t>
      </w:r>
      <w:proofErr w:type="gramStart"/>
      <w:r>
        <w:t>excepts</w:t>
      </w:r>
      <w:proofErr w:type="gramEnd"/>
      <w:r>
        <w:t xml:space="preserve"> to the ALJs’ finding and conclusion that the agreement to enter into the Sierra Club settlement was within the range of prudent options a reasonable utility manager would choose under the circumstances faced by SWEPCO at the time.  For the most part, CARD’s exception to this prudence determination is an extension of its claim that the decision to retire Welsh Unit 2 was an imprudent decision (discussed above).  SWEPCO will not reproduce here its response to CARD’s claim regarding the retirement of Welsh Unit 2, but does incorporate that discussion by reference.  As demonstrated above, the decision to retire Welsh Unit 2 was within the range of options a reasonable utility manager would choose under the circumstances faced by SWEPCO at the time.  The relationship between the Sierra Club settlement and the decision to retire Welsh Unit 2 is succinctly and accurately described in the PFD at Finding of Fact No. 142:</w:t>
      </w:r>
    </w:p>
    <w:p w14:paraId="574CCFD5" w14:textId="77777777" w:rsidR="00111483" w:rsidRDefault="00111483" w:rsidP="00B75A84">
      <w:pPr>
        <w:spacing w:line="240" w:lineRule="auto"/>
        <w:ind w:left="720" w:right="720" w:firstLine="0"/>
      </w:pPr>
      <w:r w:rsidRPr="00FD1A3D">
        <w:t>SWEPCO management had already prudently determined to retire Welsh Unit 2 and announced that decision in June 2011, well before the settlement with Sierra Club.  SWEPCO’s decision to retire Welsh Unit 2, while documented in the Sierra Club settlement, was not a result of the settlement.</w:t>
      </w:r>
    </w:p>
    <w:p w14:paraId="38CE0508" w14:textId="77777777" w:rsidR="00111483" w:rsidRDefault="00111483" w:rsidP="00111483">
      <w:pPr>
        <w:spacing w:line="240" w:lineRule="auto"/>
        <w:ind w:left="720" w:right="720" w:firstLine="0"/>
      </w:pPr>
    </w:p>
    <w:p w14:paraId="52A3D7E6" w14:textId="77777777" w:rsidR="00111483" w:rsidRDefault="00111483" w:rsidP="00111483">
      <w:r>
        <w:t xml:space="preserve">The crux of CARD’s exception regarding the Sierra Club settlement is similar to that addressed above.  CARD alleges that, if SWEPCO would have waited until the </w:t>
      </w:r>
      <w:proofErr w:type="gramStart"/>
      <w:r>
        <w:t>Spring</w:t>
      </w:r>
      <w:proofErr w:type="gramEnd"/>
      <w:r>
        <w:t xml:space="preserve"> of 2012 to make its decision to retire Welsh Unit 2, SWEPCO would have learned that environmental compliance options for the Welsh Units might exist that were less expensive than those originally expected and that this might have lead SWEPCO to make a different decision regarding Welsh Unit 2.  As explained above, CARD’s argument relies on hindsight (</w:t>
      </w:r>
      <w:r>
        <w:rPr>
          <w:i/>
        </w:rPr>
        <w:t xml:space="preserve">i.e., </w:t>
      </w:r>
      <w:r>
        <w:t>if SWEPCO had known in 2011, when the decision to retire Welsh Unit 2 was made, what it later learned in the Spring of 2012, SWEPCO might have made a different decision regarding Welsh Unit 2).  Further, as discussed below, CARD’s exceptions completely ignore all the other factors that supported the Sierra Club settlement.</w:t>
      </w:r>
    </w:p>
    <w:p w14:paraId="729E8425" w14:textId="77777777" w:rsidR="00111483" w:rsidRDefault="00111483" w:rsidP="00111483">
      <w:r>
        <w:lastRenderedPageBreak/>
        <w:t>The prudency of the Sierra Club settlement was considered by the Commission in SWEPCO’s previous base rate case, Docket No. 40443.  While that prudency determination was deferred to this proceeding, the Commission did find prudent a similar settlement with another organization also involved in litigation related to the construction of SWEPCO’s Turk power plant.  As explained in the Commission’s Order on Rehearing in Docket No. 40443, l</w:t>
      </w:r>
      <w:r w:rsidRPr="00DE3DA2">
        <w:t xml:space="preserve">itigation challenging the construction of the Turk plant was </w:t>
      </w:r>
      <w:r>
        <w:t>“</w:t>
      </w:r>
      <w:r w:rsidRPr="00DE3DA2">
        <w:t>aggressively pursued</w:t>
      </w:r>
      <w:r>
        <w:t>”</w:t>
      </w:r>
      <w:r w:rsidRPr="00DE3DA2">
        <w:t xml:space="preserve"> by the</w:t>
      </w:r>
      <w:r>
        <w:t xml:space="preserve"> </w:t>
      </w:r>
      <w:r w:rsidRPr="00DE3DA2">
        <w:t>Sierra Club and the Hempstead County Hunting Club</w:t>
      </w:r>
      <w:r>
        <w:t xml:space="preserve"> (HCHC).  Regarding the HCHC settlement, the Commission found </w:t>
      </w:r>
      <w:r w:rsidRPr="00592113">
        <w:t xml:space="preserve">that, although the </w:t>
      </w:r>
      <w:r>
        <w:t xml:space="preserve">$28 million </w:t>
      </w:r>
      <w:r w:rsidRPr="00592113">
        <w:t>amount</w:t>
      </w:r>
      <w:r>
        <w:t xml:space="preserve"> </w:t>
      </w:r>
      <w:r w:rsidRPr="00592113">
        <w:t xml:space="preserve">of the settlement was </w:t>
      </w:r>
      <w:r>
        <w:t>“</w:t>
      </w:r>
      <w:r w:rsidRPr="00592113">
        <w:t>extremely high,</w:t>
      </w:r>
      <w:r>
        <w:t>”</w:t>
      </w:r>
      <w:r w:rsidRPr="00592113">
        <w:t xml:space="preserve"> the settlement was necessary to the</w:t>
      </w:r>
      <w:r>
        <w:t xml:space="preserve"> </w:t>
      </w:r>
      <w:r w:rsidRPr="00592113">
        <w:t>completion of the Turk plant and</w:t>
      </w:r>
      <w:r>
        <w:t>,</w:t>
      </w:r>
      <w:r w:rsidRPr="00592113">
        <w:t xml:space="preserve"> therefore</w:t>
      </w:r>
      <w:r>
        <w:t>,</w:t>
      </w:r>
      <w:r w:rsidRPr="00592113">
        <w:t xml:space="preserve"> prudently incurred and should be</w:t>
      </w:r>
      <w:r>
        <w:t xml:space="preserve"> </w:t>
      </w:r>
      <w:r w:rsidRPr="00592113">
        <w:t xml:space="preserve">allowed in </w:t>
      </w:r>
      <w:r>
        <w:t xml:space="preserve">SWEPCO’s </w:t>
      </w:r>
      <w:r w:rsidRPr="00592113">
        <w:t>rate base.</w:t>
      </w:r>
      <w:r>
        <w:rPr>
          <w:rStyle w:val="FootnoteReference"/>
        </w:rPr>
        <w:footnoteReference w:id="188"/>
      </w:r>
      <w:r>
        <w:t xml:space="preserve">  The Commission’s findings of facts in Docket No. 40443 help put the two settlements in context:</w:t>
      </w:r>
    </w:p>
    <w:p w14:paraId="4640675E" w14:textId="77777777" w:rsidR="00111483" w:rsidRDefault="00111483" w:rsidP="00111483">
      <w:pPr>
        <w:spacing w:line="240" w:lineRule="auto"/>
        <w:ind w:left="1440" w:right="720" w:hanging="720"/>
      </w:pPr>
      <w:r>
        <w:t>71.</w:t>
      </w:r>
      <w:r>
        <w:tab/>
      </w:r>
      <w:r w:rsidRPr="003638A0">
        <w:t>In 2010, the Sierra Club, National Audubon Society, the Hempstead County Hunting</w:t>
      </w:r>
      <w:r>
        <w:t xml:space="preserve"> </w:t>
      </w:r>
      <w:r w:rsidRPr="003638A0">
        <w:t>Club (HCHC), and a number of individuals affiliated with one or more of these groups,</w:t>
      </w:r>
      <w:r>
        <w:t xml:space="preserve"> </w:t>
      </w:r>
      <w:r w:rsidRPr="003638A0">
        <w:t>filed separate complaints - one headed up by HCHC and the other by the Sierra Club -</w:t>
      </w:r>
      <w:r>
        <w:t xml:space="preserve"> </w:t>
      </w:r>
      <w:r w:rsidRPr="003638A0">
        <w:t>with the federal district court in the Western District of Arkansas against the U.S. Army</w:t>
      </w:r>
      <w:r>
        <w:t xml:space="preserve"> </w:t>
      </w:r>
      <w:r w:rsidRPr="003638A0">
        <w:t>Corps of Engineers, the U.S. Department of Interior, and the U.S. Fish and Wildlife</w:t>
      </w:r>
      <w:r>
        <w:t xml:space="preserve"> </w:t>
      </w:r>
      <w:r w:rsidRPr="003638A0">
        <w:t>Service.</w:t>
      </w:r>
    </w:p>
    <w:p w14:paraId="2FCA5897" w14:textId="77777777" w:rsidR="00111483" w:rsidRDefault="00111483" w:rsidP="00111483">
      <w:pPr>
        <w:spacing w:line="240" w:lineRule="auto"/>
        <w:ind w:left="1440" w:right="720" w:hanging="720"/>
        <w:jc w:val="center"/>
      </w:pPr>
      <w:r>
        <w:t>.     .     .</w:t>
      </w:r>
    </w:p>
    <w:p w14:paraId="00B571BA" w14:textId="77777777" w:rsidR="00111483" w:rsidRDefault="00111483" w:rsidP="00111483">
      <w:pPr>
        <w:spacing w:line="240" w:lineRule="auto"/>
        <w:ind w:left="1440" w:right="720" w:hanging="720"/>
        <w:jc w:val="center"/>
      </w:pPr>
    </w:p>
    <w:p w14:paraId="4BD88A04" w14:textId="77777777" w:rsidR="00111483" w:rsidRDefault="00111483" w:rsidP="00111483">
      <w:pPr>
        <w:spacing w:line="240" w:lineRule="auto"/>
        <w:ind w:left="1440" w:right="720" w:hanging="720"/>
      </w:pPr>
      <w:r>
        <w:t>73.</w:t>
      </w:r>
      <w:r>
        <w:tab/>
      </w:r>
      <w:r w:rsidRPr="003638A0">
        <w:t>In the last quarter of 2010, the Sierra Club and HCHC litigants obtained a temporary</w:t>
      </w:r>
      <w:r>
        <w:t xml:space="preserve"> </w:t>
      </w:r>
      <w:r w:rsidRPr="003638A0">
        <w:t>injunction stopping the activities authorized by the Corps, and the U.S. Court of Appeals</w:t>
      </w:r>
      <w:r>
        <w:t xml:space="preserve"> </w:t>
      </w:r>
      <w:r w:rsidRPr="003638A0">
        <w:t>for the Eighth Circuit upheld that injunction, concluding, among other things, that the</w:t>
      </w:r>
      <w:r>
        <w:t xml:space="preserve"> </w:t>
      </w:r>
      <w:r w:rsidRPr="003638A0">
        <w:t>plaintiffs had shown a likelihood of success</w:t>
      </w:r>
      <w:r>
        <w:t>.</w:t>
      </w:r>
    </w:p>
    <w:p w14:paraId="4D33A40E" w14:textId="77777777" w:rsidR="00111483" w:rsidRDefault="00111483" w:rsidP="00111483">
      <w:pPr>
        <w:spacing w:line="240" w:lineRule="auto"/>
        <w:ind w:left="1440" w:right="720" w:hanging="720"/>
      </w:pPr>
    </w:p>
    <w:p w14:paraId="512981E7" w14:textId="77777777" w:rsidR="00111483" w:rsidRDefault="00111483" w:rsidP="00111483">
      <w:pPr>
        <w:spacing w:line="240" w:lineRule="auto"/>
        <w:ind w:left="1440" w:right="720" w:hanging="720"/>
      </w:pPr>
      <w:r>
        <w:t>74.</w:t>
      </w:r>
      <w:r>
        <w:tab/>
      </w:r>
      <w:r w:rsidRPr="00F57A95">
        <w:t>As long as the injunction was in place, SWEPCO could not complete construction</w:t>
      </w:r>
      <w:r>
        <w:t xml:space="preserve"> </w:t>
      </w:r>
      <w:r w:rsidRPr="00F57A95">
        <w:t>necessary to operate the Turk plant at full capacity.</w:t>
      </w:r>
    </w:p>
    <w:p w14:paraId="40696C6F" w14:textId="77777777" w:rsidR="00420FF3" w:rsidRDefault="00420FF3" w:rsidP="00111483">
      <w:pPr>
        <w:spacing w:line="240" w:lineRule="auto"/>
        <w:ind w:left="1440" w:right="720" w:hanging="720"/>
      </w:pPr>
    </w:p>
    <w:p w14:paraId="2771BF49" w14:textId="77777777" w:rsidR="00111483" w:rsidRDefault="00111483" w:rsidP="00111483">
      <w:pPr>
        <w:spacing w:line="240" w:lineRule="auto"/>
        <w:ind w:left="1440" w:right="720" w:hanging="720"/>
      </w:pPr>
      <w:r>
        <w:t>75.</w:t>
      </w:r>
      <w:r>
        <w:tab/>
      </w:r>
      <w:r w:rsidRPr="00F57A95">
        <w:t>SWEPCO determined that each month of delay would have resulted in about $10 million</w:t>
      </w:r>
      <w:r>
        <w:t xml:space="preserve"> </w:t>
      </w:r>
      <w:r w:rsidRPr="00F57A95">
        <w:t>in allowance for funds used during construction (AFUDC) added to the cost of the Turk</w:t>
      </w:r>
      <w:r>
        <w:t xml:space="preserve"> </w:t>
      </w:r>
      <w:r w:rsidRPr="00F57A95">
        <w:t>plant.</w:t>
      </w:r>
    </w:p>
    <w:p w14:paraId="51C408A5" w14:textId="77777777" w:rsidR="00111483" w:rsidRDefault="00111483" w:rsidP="00111483">
      <w:pPr>
        <w:spacing w:line="240" w:lineRule="auto"/>
        <w:ind w:left="1440" w:right="720" w:hanging="720"/>
      </w:pPr>
    </w:p>
    <w:p w14:paraId="688C7376" w14:textId="77777777" w:rsidR="00111483" w:rsidRDefault="00111483" w:rsidP="00111483">
      <w:pPr>
        <w:spacing w:line="240" w:lineRule="auto"/>
        <w:ind w:left="1440" w:right="720" w:hanging="720"/>
      </w:pPr>
      <w:r>
        <w:t>76.</w:t>
      </w:r>
      <w:r>
        <w:tab/>
      </w:r>
      <w:r w:rsidRPr="00F57A95">
        <w:t>In addition to the approximately $10 million in costs per month for construction delays,</w:t>
      </w:r>
      <w:r>
        <w:t xml:space="preserve"> </w:t>
      </w:r>
      <w:r w:rsidRPr="00F57A95">
        <w:t xml:space="preserve">SWEPCO also was incurring significant litigation </w:t>
      </w:r>
      <w:r w:rsidRPr="00F57A95">
        <w:lastRenderedPageBreak/>
        <w:t>costs.</w:t>
      </w:r>
    </w:p>
    <w:p w14:paraId="6F3667AE" w14:textId="77777777" w:rsidR="00111483" w:rsidRDefault="00111483" w:rsidP="00111483">
      <w:pPr>
        <w:spacing w:line="240" w:lineRule="auto"/>
        <w:ind w:left="1440" w:right="720" w:hanging="720"/>
        <w:jc w:val="center"/>
      </w:pPr>
      <w:r>
        <w:t>.     .     .</w:t>
      </w:r>
    </w:p>
    <w:p w14:paraId="15347B0B" w14:textId="77777777" w:rsidR="00111483" w:rsidRDefault="00111483" w:rsidP="00111483">
      <w:pPr>
        <w:spacing w:line="240" w:lineRule="auto"/>
        <w:ind w:left="1440" w:right="720" w:hanging="720"/>
        <w:jc w:val="center"/>
      </w:pPr>
    </w:p>
    <w:p w14:paraId="19612001" w14:textId="77777777" w:rsidR="00111483" w:rsidRDefault="00111483" w:rsidP="00111483">
      <w:pPr>
        <w:spacing w:line="240" w:lineRule="auto"/>
        <w:ind w:left="1440" w:right="720" w:hanging="720"/>
      </w:pPr>
      <w:r>
        <w:t>81.</w:t>
      </w:r>
      <w:r>
        <w:tab/>
      </w:r>
      <w:r w:rsidRPr="00F57A95">
        <w:t>The Turk plant permit litigation settlements were intended to avoid additional</w:t>
      </w:r>
      <w:r>
        <w:t xml:space="preserve"> </w:t>
      </w:r>
      <w:r w:rsidRPr="00F57A95">
        <w:t>construction delay costs.</w:t>
      </w:r>
      <w:r>
        <w:rPr>
          <w:rStyle w:val="FootnoteReference"/>
        </w:rPr>
        <w:footnoteReference w:id="189"/>
      </w:r>
    </w:p>
    <w:p w14:paraId="3E157305" w14:textId="77777777" w:rsidR="00111483" w:rsidRDefault="00111483" w:rsidP="00111483">
      <w:pPr>
        <w:spacing w:line="240" w:lineRule="auto"/>
        <w:ind w:left="1440" w:right="720" w:hanging="720"/>
      </w:pPr>
    </w:p>
    <w:p w14:paraId="57EA6A8B" w14:textId="77777777" w:rsidR="00111483" w:rsidRDefault="00111483" w:rsidP="00111483">
      <w:r>
        <w:t>On the strength of these findings, the Commission found the settlement with the HCHC to be prudent.</w:t>
      </w:r>
      <w:r>
        <w:rPr>
          <w:rStyle w:val="FootnoteReference"/>
        </w:rPr>
        <w:footnoteReference w:id="190"/>
      </w:r>
      <w:r>
        <w:t xml:space="preserve">  The Commission deferred its prudence determination on the Sierra Club settlement only because Commission found that the Sierra Club settlement was “</w:t>
      </w:r>
      <w:r w:rsidRPr="00401B20">
        <w:t>intertwined with SWEPCO</w:t>
      </w:r>
      <w:r>
        <w:t>’</w:t>
      </w:r>
      <w:r w:rsidRPr="00401B20">
        <w:t>s commitment to retire the Welsh Unit 2 plant</w:t>
      </w:r>
      <w:r>
        <w:t>” and that the prudence of the Sierra Club settlement should be deferred until a later proceeding addressing the retirement of Welsh Unit 2.</w:t>
      </w:r>
      <w:r>
        <w:rPr>
          <w:rStyle w:val="FootnoteReference"/>
        </w:rPr>
        <w:footnoteReference w:id="191"/>
      </w:r>
    </w:p>
    <w:p w14:paraId="57064DA2" w14:textId="77777777" w:rsidR="00111483" w:rsidRDefault="00111483" w:rsidP="00111483">
      <w:r>
        <w:t>Each of the above quoted findings is equally applicable to both the Sierra Club settlement and the HCHC settlement.  Just as these findings supported the Commission’s prudence determination of the HCHC settlement, these findings support the prudence determination of the Sierra Club settlement.  CARD’s exceptions do not address, let alone refute, any of these facts previously found by the Commission that support the prudence of the Sierra Club settlement.</w:t>
      </w:r>
    </w:p>
    <w:p w14:paraId="27DD1259" w14:textId="77777777" w:rsidR="00111483" w:rsidRDefault="00111483" w:rsidP="00111483">
      <w:r>
        <w:t>In attacking the decision to retire Welsh Unit 2 (and by proxy the decision to enter into the Sierra Club settlement), CARD repeats the allegation that, after the June 2011 decision to retire Welsh Unit 2 but before the December 2011 decision to enter into the Sierra Club settlement, “SWEPCO was evaluating the merits of retiring or retrofitting Welsh 2.”</w:t>
      </w:r>
      <w:r>
        <w:rPr>
          <w:rStyle w:val="FootnoteReference"/>
        </w:rPr>
        <w:footnoteReference w:id="192"/>
      </w:r>
      <w:r>
        <w:t xml:space="preserve">  CARD misstates the evidence and even the testimony of its own witness.</w:t>
      </w:r>
    </w:p>
    <w:p w14:paraId="6715B9A5" w14:textId="77777777" w:rsidR="00111483" w:rsidRDefault="00111483" w:rsidP="00111483">
      <w:r>
        <w:t xml:space="preserve">As discussed above, SWEPCO and its parent AEP announced the retirement of Welsh Unit 2 in June 2011 in an announcement that encompassed the entire AEP generating fleet.  </w:t>
      </w:r>
      <w:r w:rsidRPr="0000120E">
        <w:t>In total, AEP’s system-wide compliance plan included the retirement of nearly 6,000 megawatts (MW) of coal fired generation and the retrofit of another 10,000 MW of coal-fired generation.</w:t>
      </w:r>
      <w:r>
        <w:rPr>
          <w:rStyle w:val="FootnoteReference"/>
        </w:rPr>
        <w:footnoteReference w:id="193"/>
      </w:r>
      <w:r>
        <w:t xml:space="preserve">  </w:t>
      </w:r>
      <w:r>
        <w:lastRenderedPageBreak/>
        <w:t xml:space="preserve">AEP’s announcement did acknowledge </w:t>
      </w:r>
      <w:r w:rsidRPr="00536893">
        <w:t xml:space="preserve">that its </w:t>
      </w:r>
      <w:r>
        <w:t xml:space="preserve">environmental compliance </w:t>
      </w:r>
      <w:r w:rsidRPr="00536893">
        <w:t xml:space="preserve">plan could change significantly </w:t>
      </w:r>
      <w:r>
        <w:t>“</w:t>
      </w:r>
      <w:r w:rsidRPr="003A141C">
        <w:t>depending on the final form of the EPA regulations and regulatory approvals from state commissions.”</w:t>
      </w:r>
      <w:r w:rsidRPr="00536893">
        <w:rPr>
          <w:vertAlign w:val="superscript"/>
        </w:rPr>
        <w:footnoteReference w:id="194"/>
      </w:r>
      <w:r>
        <w:t xml:space="preserve">  However, as SWEPCO President Ms. McCellon-Allen testified, </w:t>
      </w:r>
      <w:r w:rsidRPr="003A141C">
        <w:t>at the time SWEPCO entered into the Sierra Club settlement, there was “no significant change in circumstances in the months after the June 2011 decision to retire Welsh Unit 2 that would cause SWEPCO to reverse that decision.”</w:t>
      </w:r>
      <w:r w:rsidRPr="003A141C">
        <w:rPr>
          <w:vertAlign w:val="superscript"/>
        </w:rPr>
        <w:footnoteReference w:id="195"/>
      </w:r>
      <w:r w:rsidRPr="003A141C">
        <w:t xml:space="preserve">  Therefore, in December 2011</w:t>
      </w:r>
      <w:r>
        <w:t xml:space="preserve"> at the time of the Sierra Club settlement</w:t>
      </w:r>
      <w:r w:rsidRPr="003A141C">
        <w:t xml:space="preserve">, SWEPCO did not agree to do anything with Welsh Unit 2 that SWEPCO did not already plan to do </w:t>
      </w:r>
      <w:proofErr w:type="gramStart"/>
      <w:r w:rsidRPr="003A141C">
        <w:t>based</w:t>
      </w:r>
      <w:proofErr w:type="gramEnd"/>
      <w:r w:rsidRPr="003A141C">
        <w:t xml:space="preserve"> on the circumstances that SWEPCO faced at the time.</w:t>
      </w:r>
    </w:p>
    <w:p w14:paraId="477FDC90" w14:textId="77777777" w:rsidR="00111483" w:rsidRDefault="00111483" w:rsidP="00111483">
      <w:r>
        <w:t>After the June 2011 announcement of the AEP environmental compliance plan (which included the retirement of Welsh Unit 2 and the retrofit of Welsh Units 1 and 3), SWEPCO and AEP set about executing that plan.  Executing the plan to retrofit Welsh Units 1 and 3 included a due diligence study of what control technologies would effectively meet expected compliance requirements for these units and at what cost.  As explained by the Managing Director of Projects for the AEP Generation Business Unit, Franklin Pifer, “</w:t>
      </w:r>
      <w:r w:rsidRPr="00B711F4">
        <w:t>In Spring 2012, SWEPCO, in collaboration with a cross-functional team consisting of AEP Engineering, AEP Project &amp; Field Services, and AEP Fuel, Emissions &amp; Logistics, initially identified combinations of the technology options for acceptable emission reduction solutions for Welsh Units 1 and 3</w:t>
      </w:r>
      <w:r>
        <w:t>.”</w:t>
      </w:r>
      <w:r>
        <w:rPr>
          <w:rStyle w:val="FootnoteReference"/>
        </w:rPr>
        <w:footnoteReference w:id="196"/>
      </w:r>
      <w:r>
        <w:t xml:space="preserve">  It is this compliance technology review for Welsh Units 1 and 3 that CARD refers to in its exceptions as an evaluation of “the merits of retiring or retrofitting Welsh 2.”</w:t>
      </w:r>
      <w:r>
        <w:rPr>
          <w:rStyle w:val="FootnoteReference"/>
        </w:rPr>
        <w:footnoteReference w:id="197"/>
      </w:r>
      <w:r>
        <w:t xml:space="preserve">  CARD clearly misstates the evidence.  Even the testimony of CARD’s witness describes this compliance technology review as the </w:t>
      </w:r>
      <w:proofErr w:type="gramStart"/>
      <w:r>
        <w:t>Spring</w:t>
      </w:r>
      <w:proofErr w:type="gramEnd"/>
      <w:r>
        <w:t xml:space="preserve"> 2012 “compliance review.”</w:t>
      </w:r>
      <w:r>
        <w:rPr>
          <w:rStyle w:val="FootnoteReference"/>
        </w:rPr>
        <w:footnoteReference w:id="198"/>
      </w:r>
      <w:r>
        <w:t xml:space="preserve">  Therefore, at its core, CARD’s argument is that SWEPCO should have known in 2011 that a technology choice review conducted in 2012 would identify control technology choices for Welsh Units 1 and 3 less expensive than originally thought and that this hindsight knowledge might have led to a different decision regarding Welsh </w:t>
      </w:r>
      <w:r>
        <w:lastRenderedPageBreak/>
        <w:t>Unit 2.  Notably,</w:t>
      </w:r>
      <w:r w:rsidRPr="00B50A63">
        <w:t xml:space="preserve"> CARD offers no evidence that modeling a change in emissions control technology would have led to a different decision regarding Welsh Unit 2.</w:t>
      </w:r>
      <w:r>
        <w:t xml:space="preserve">  CARD’s analysis suffers from hindsight and a failure to recognize all of the risk factors that contributed to the decision to retire Welsh Unit 2.</w:t>
      </w:r>
    </w:p>
    <w:p w14:paraId="0F3D5030" w14:textId="77777777" w:rsidR="00111483" w:rsidRDefault="00111483" w:rsidP="00111483">
      <w:r>
        <w:t xml:space="preserve">CARD concludes its exceptions on the Sierra Club settlement with a misguided and confusing discussion of the 12-month rolling average, 60% capacity factor limitation on Welsh Unit 2 contained in the Sierra Club settlement.  </w:t>
      </w:r>
      <w:r w:rsidRPr="00940DF9">
        <w:t>The 60% capacity factor limitation was not a new agreement, but rather paralleled the settlement SWEPCO had reached with the Arkansas Department of Environmental Quality and Caney Creek Federal Land Manager in March 2008 to reduce SO</w:t>
      </w:r>
      <w:r w:rsidRPr="00940DF9">
        <w:rPr>
          <w:vertAlign w:val="subscript"/>
        </w:rPr>
        <w:t>2</w:t>
      </w:r>
      <w:r w:rsidRPr="00940DF9">
        <w:t xml:space="preserve"> emissions at the Caney Creek Wilderness Area.  </w:t>
      </w:r>
      <w:r>
        <w:t>Therefore, t</w:t>
      </w:r>
      <w:r w:rsidRPr="00940DF9">
        <w:t>his provision of the settlement added no substantial incremental burden on the operation of Welsh Unit 2.</w:t>
      </w:r>
      <w:r w:rsidRPr="00940DF9">
        <w:rPr>
          <w:vertAlign w:val="superscript"/>
        </w:rPr>
        <w:footnoteReference w:id="199"/>
      </w:r>
      <w:r>
        <w:t xml:space="preserve">  The PFD clearly highlights this prior commitment as the origin of the 60% capacity factor limitation in the Sierra Club settlement:</w:t>
      </w:r>
    </w:p>
    <w:p w14:paraId="3E3A0D0A" w14:textId="77777777" w:rsidR="00111483" w:rsidRDefault="00111483" w:rsidP="00B75A84">
      <w:pPr>
        <w:spacing w:line="240" w:lineRule="auto"/>
        <w:ind w:left="720" w:right="720" w:firstLine="0"/>
      </w:pPr>
      <w:r w:rsidRPr="00C71BB3">
        <w:t>The 60% capacity factor limitation was not a new agreement, but paralleled the settlement SWEPCO had reached with the Arkansas Department of Environmental Quality and the Caney Creek Federal Land Manager in March 2008 to reduce sulfur dioxide (SO</w:t>
      </w:r>
      <w:r w:rsidRPr="00642C07">
        <w:rPr>
          <w:vertAlign w:val="subscript"/>
        </w:rPr>
        <w:t>2</w:t>
      </w:r>
      <w:r w:rsidRPr="00C71BB3">
        <w:t>) emissions at the Caney Creek Wilderness Area.  This provision of the settlement added no substantial incremental burden on the operation of Welsh Unit 2.</w:t>
      </w:r>
      <w:r>
        <w:rPr>
          <w:rStyle w:val="FootnoteReference"/>
        </w:rPr>
        <w:footnoteReference w:id="200"/>
      </w:r>
    </w:p>
    <w:p w14:paraId="54131D09" w14:textId="77777777" w:rsidR="00111483" w:rsidRDefault="00111483" w:rsidP="00111483">
      <w:pPr>
        <w:spacing w:line="240" w:lineRule="auto"/>
        <w:ind w:left="1440" w:right="1440"/>
      </w:pPr>
    </w:p>
    <w:p w14:paraId="7C4DCB64" w14:textId="77777777" w:rsidR="00111483" w:rsidRDefault="00111483" w:rsidP="00111483">
      <w:r>
        <w:t>CARD’s exceptions fail to refute or even address this fact.</w:t>
      </w:r>
    </w:p>
    <w:p w14:paraId="4F80B576" w14:textId="77777777" w:rsidR="00111483" w:rsidRDefault="00111483" w:rsidP="00111483">
      <w:r>
        <w:t>Finally, CARD</w:t>
      </w:r>
      <w:r w:rsidR="00F478BE">
        <w:t>’s</w:t>
      </w:r>
      <w:r>
        <w:t xml:space="preserve"> exceptions allege the testimony of SWEPCO witness Mr. Hakimi is “hindsight” relied on by the ALJs regarding the prudence of the Sierra Club settlement.  CARD misunderstands the evidence.  Mr. Hakimi’s testimony demonstrates simply that the capacity factors of all the Welsh Units dropped after the Sierra Club settlement for reasons largely independent of the Welsh Unit 2 60% capacity factor limitation.  Therefore, this particular provision of the Sierra Club settlement had little economic impact on SWEPCO and its customers.</w:t>
      </w:r>
      <w:r>
        <w:rPr>
          <w:rStyle w:val="FootnoteReference"/>
        </w:rPr>
        <w:footnoteReference w:id="201"/>
      </w:r>
    </w:p>
    <w:p w14:paraId="17BE4C8E" w14:textId="77777777" w:rsidR="001A37CA" w:rsidRDefault="001A37CA" w:rsidP="00FB6023">
      <w:pPr>
        <w:pStyle w:val="Heading3"/>
      </w:pPr>
      <w:bookmarkStart w:id="23" w:name="_Toc497123820"/>
      <w:bookmarkStart w:id="24" w:name="_Ref491165678"/>
      <w:r>
        <w:lastRenderedPageBreak/>
        <w:t>Appropriate Ratemaking Treatment for Welsh Unit 2</w:t>
      </w:r>
      <w:bookmarkEnd w:id="23"/>
      <w:r>
        <w:t xml:space="preserve"> </w:t>
      </w:r>
      <w:bookmarkEnd w:id="24"/>
    </w:p>
    <w:p w14:paraId="7A8BB182" w14:textId="77777777" w:rsidR="001A37CA" w:rsidRDefault="001A37CA" w:rsidP="00FB6023">
      <w:pPr>
        <w:keepNext/>
        <w:widowControl/>
      </w:pPr>
      <w:r>
        <w:t>CARD’s exceptions alone urge that even if the retirement of Welsh Unit 2 is prudent, the used and useful standard precludes SWEPCO from including both a return on Welsh Unit 2 investment, and a return of that investment through depreciation expense.</w:t>
      </w:r>
      <w:r>
        <w:rPr>
          <w:rStyle w:val="FootnoteReference"/>
        </w:rPr>
        <w:footnoteReference w:id="202"/>
      </w:r>
      <w:r>
        <w:t xml:space="preserve">  SWEPCO’s own exceptions explain why </w:t>
      </w:r>
      <w:r w:rsidR="00F478BE">
        <w:t xml:space="preserve">inclusion in rates of </w:t>
      </w:r>
      <w:r>
        <w:t xml:space="preserve">both a return on and of the Welsh Unit 2 investment </w:t>
      </w:r>
      <w:r w:rsidR="00301B5D">
        <w:t>is consistent with the used and useful standard</w:t>
      </w:r>
      <w:r>
        <w:t xml:space="preserve">.  CARD’s attempt to amplify the PFD’s erroneous </w:t>
      </w:r>
      <w:r w:rsidR="00301B5D">
        <w:t xml:space="preserve">proposed </w:t>
      </w:r>
      <w:r>
        <w:t xml:space="preserve">treatment of the investment by denying recovery of the investment through depreciation expense is clearly contrary to law and precedent. </w:t>
      </w:r>
    </w:p>
    <w:p w14:paraId="5C25C4D5" w14:textId="77777777" w:rsidR="001A37CA" w:rsidRPr="00DE58BA" w:rsidRDefault="001A37CA" w:rsidP="001A37CA">
      <w:r>
        <w:t xml:space="preserve">CARD cites PURA Section 36.051 in support of its position.  That section, however, states that rates “will permit the utility a reasonable opportunity to earn a reasonable return </w:t>
      </w:r>
      <w:r w:rsidRPr="0053365A">
        <w:rPr>
          <w:b/>
          <w:u w:val="single"/>
        </w:rPr>
        <w:t>on</w:t>
      </w:r>
      <w:r>
        <w:t xml:space="preserve"> the utility’s invested capital </w:t>
      </w:r>
      <w:r w:rsidRPr="0053365A">
        <w:rPr>
          <w:b/>
          <w:u w:val="single"/>
        </w:rPr>
        <w:t>used and useful</w:t>
      </w:r>
      <w:r>
        <w:t xml:space="preserve"> in providing service</w:t>
      </w:r>
      <w:r w:rsidR="006248AD">
        <w:t xml:space="preserve"> </w:t>
      </w:r>
      <w:r>
        <w:t xml:space="preserve">. . .” (emphasis added).  In other words, under the statute, the used and useful standard is used in connection with the grant of a return on investment, not the return of investment through depreciation.  Regarding </w:t>
      </w:r>
      <w:r w:rsidR="00FB6023">
        <w:t>recovery through depreciation expense</w:t>
      </w:r>
      <w:r>
        <w:t>, PURA Section 36.056(a) states simply that “the commission shall establish proper and adequate rates and methods of depreciation, amortization, or depletion for each class of property of an electric</w:t>
      </w:r>
      <w:r w:rsidR="006248AD">
        <w:t xml:space="preserve"> </w:t>
      </w:r>
      <w:r>
        <w:t>. . .</w:t>
      </w:r>
      <w:r w:rsidR="006248AD">
        <w:t xml:space="preserve"> </w:t>
      </w:r>
      <w:r>
        <w:t xml:space="preserve">utility.”  Consistent with these standards, the Commission has </w:t>
      </w:r>
      <w:r w:rsidR="00301B5D">
        <w:t xml:space="preserve">in the past </w:t>
      </w:r>
      <w:r>
        <w:t>allowed the recovery through depreciation or amortization of prudently incurred capital investment that was not allowed in invested capital, as recommended by Staff and other witnesses in this case.</w:t>
      </w:r>
      <w:r>
        <w:rPr>
          <w:rStyle w:val="FootnoteReference"/>
        </w:rPr>
        <w:footnoteReference w:id="203"/>
      </w:r>
      <w:r>
        <w:t xml:space="preserve"> </w:t>
      </w:r>
    </w:p>
    <w:p w14:paraId="2FFCFBEB" w14:textId="77777777" w:rsidR="00111483" w:rsidRDefault="00111483" w:rsidP="001A37CA">
      <w:pPr>
        <w:pStyle w:val="Heading2"/>
        <w:ind w:hanging="720"/>
      </w:pPr>
      <w:bookmarkStart w:id="25" w:name="_Toc497123821"/>
      <w:r>
        <w:t>Turk Power Plant Cost Cap</w:t>
      </w:r>
      <w:bookmarkEnd w:id="25"/>
    </w:p>
    <w:p w14:paraId="1759265D" w14:textId="77777777" w:rsidR="00111483" w:rsidRPr="001E1AA1" w:rsidRDefault="00111483" w:rsidP="00111483">
      <w:r w:rsidRPr="001E1AA1">
        <w:t>When certifying the construction of the Turk power plant in Docket No. 33891, the Commission established a construction cost cap of $1.522 billion (total plant)</w:t>
      </w:r>
      <w:r>
        <w:t xml:space="preserve"> based on SWEPCO’s estimate of the cost to construct the Turk plant</w:t>
      </w:r>
      <w:r w:rsidRPr="001E1AA1">
        <w:t>.</w:t>
      </w:r>
      <w:r w:rsidRPr="001E1AA1">
        <w:rPr>
          <w:vertAlign w:val="superscript"/>
        </w:rPr>
        <w:footnoteReference w:id="204"/>
      </w:r>
      <w:r w:rsidRPr="001E1AA1">
        <w:t xml:space="preserve">  As a result of exceeding the </w:t>
      </w:r>
      <w:r w:rsidRPr="001E1AA1">
        <w:lastRenderedPageBreak/>
        <w:t xml:space="preserve">construction cost cap ordered in Texas, SWEPCO excluded more than $58 million (Texas retail) of construction cost from its rate base in this proceeding.  No party disputes this calculation of the construction costs that exceed the </w:t>
      </w:r>
      <w:r>
        <w:t xml:space="preserve">construction cost </w:t>
      </w:r>
      <w:r w:rsidRPr="001E1AA1">
        <w:t>cap ordered in Texas.</w:t>
      </w:r>
    </w:p>
    <w:p w14:paraId="522175E8" w14:textId="77777777" w:rsidR="00111483" w:rsidRPr="001E1AA1" w:rsidRDefault="00111483" w:rsidP="00111483">
      <w:r w:rsidRPr="001E1AA1">
        <w:t xml:space="preserve">SWEPCO’s </w:t>
      </w:r>
      <w:r>
        <w:t xml:space="preserve">construction </w:t>
      </w:r>
      <w:r w:rsidRPr="001E1AA1">
        <w:t>costs did not exceed the cost cap until April 2012</w:t>
      </w:r>
      <w:r>
        <w:t>.  T</w:t>
      </w:r>
      <w:r w:rsidRPr="001E1AA1">
        <w:t xml:space="preserve">he Turk </w:t>
      </w:r>
      <w:r>
        <w:t>p</w:t>
      </w:r>
      <w:r w:rsidRPr="001E1AA1">
        <w:t xml:space="preserve">ower </w:t>
      </w:r>
      <w:r>
        <w:t>p</w:t>
      </w:r>
      <w:r w:rsidRPr="001E1AA1">
        <w:t xml:space="preserve">lant went into service in mid-December 2012.  Thus, </w:t>
      </w:r>
      <w:r>
        <w:t xml:space="preserve">for the final </w:t>
      </w:r>
      <w:r w:rsidRPr="001E1AA1">
        <w:t xml:space="preserve">eight and one-half months </w:t>
      </w:r>
      <w:r>
        <w:t xml:space="preserve">of construction, SWEPCO was expending funds above the cap and accruing an Allowance for Funds Used </w:t>
      </w:r>
      <w:proofErr w:type="gramStart"/>
      <w:r>
        <w:t>During</w:t>
      </w:r>
      <w:proofErr w:type="gramEnd"/>
      <w:r>
        <w:t xml:space="preserve"> Construction (AFUDC) on the </w:t>
      </w:r>
      <w:r w:rsidRPr="001E1AA1">
        <w:t xml:space="preserve">“above-the-cap” investment.  </w:t>
      </w:r>
      <w:r>
        <w:t xml:space="preserve">AFUDC is the cost of financing expenditures during construction until those expenditures can be placed into the utility’s rate base.  </w:t>
      </w:r>
      <w:r w:rsidRPr="001E1AA1">
        <w:t xml:space="preserve">These facts are </w:t>
      </w:r>
      <w:r>
        <w:t xml:space="preserve">also </w:t>
      </w:r>
      <w:r w:rsidRPr="001E1AA1">
        <w:t>uncontested.</w:t>
      </w:r>
    </w:p>
    <w:p w14:paraId="68B520FE" w14:textId="77777777" w:rsidR="00111483" w:rsidRDefault="00111483" w:rsidP="00111483">
      <w:r w:rsidRPr="001E1AA1">
        <w:t xml:space="preserve">During each month of the Turk construction period, SWEPCO compared the book level of Turk investment to the cost cap associated with SWEPCO’s portion of the Turk plant, which was $1.116 billion dollars.  If SWEPCO’s actual cost cap related investment exceeded the $1.116 billion, </w:t>
      </w:r>
      <w:proofErr w:type="gramStart"/>
      <w:r w:rsidRPr="001E1AA1">
        <w:t>then</w:t>
      </w:r>
      <w:proofErr w:type="gramEnd"/>
      <w:r w:rsidRPr="001E1AA1">
        <w:t xml:space="preserve"> AFUDC was calculated on the actual amount that exceeded the cost cap using that month’s actual AFUDC rate.  In other words, SWEPCO determined the amount of AFUDC on investment above the cost cap on a monthly basis using actual dollars above the cost cap and actual monthly AFUDC rates.</w:t>
      </w:r>
      <w:r w:rsidRPr="001E1AA1">
        <w:rPr>
          <w:vertAlign w:val="superscript"/>
        </w:rPr>
        <w:footnoteReference w:id="205"/>
      </w:r>
      <w:r w:rsidRPr="001E1AA1">
        <w:t xml:space="preserve">  These facts, too, are uncontested.</w:t>
      </w:r>
      <w:r>
        <w:t xml:space="preserve">  This month-by-month calculation of actual AFUDC associated with the investment that exceeded the cost cap is depicted on page 96 of the PFD.  As correctly recognized by the ALJs, “</w:t>
      </w:r>
      <w:r w:rsidRPr="00544802">
        <w:t>the trigger for excluding AFUDC is the date the cost cap was exceeded.</w:t>
      </w:r>
      <w:r>
        <w:t>”</w:t>
      </w:r>
      <w:r>
        <w:rPr>
          <w:rStyle w:val="FootnoteReference"/>
        </w:rPr>
        <w:footnoteReference w:id="206"/>
      </w:r>
      <w:r>
        <w:t xml:space="preserve">  In the PFD, the ALJs made use of an analogy to a homeowner borrowing funds for the construction of a new home:</w:t>
      </w:r>
    </w:p>
    <w:p w14:paraId="07BF96B4" w14:textId="77777777" w:rsidR="00111483" w:rsidRDefault="00111483" w:rsidP="006248AD">
      <w:pPr>
        <w:spacing w:line="240" w:lineRule="auto"/>
        <w:ind w:left="720" w:right="720" w:firstLine="0"/>
      </w:pPr>
      <w:r w:rsidRPr="00195C1F">
        <w:t>The corresponding stage in the homeowner analogy both parties used is the point in time when the homeowner seeks to borrow an amount in excess of the total construction budget.  The cost cap set by the bank is exceeded and the bank can require the homeowner to self-fund those amounts, as well as any associated financing.  That is analogous to SWEPCO’s responsibility (as far as Texas retail customers are concerned) for amounts of over-the-cap capital costs and over-the-cap AFUDC.</w:t>
      </w:r>
      <w:r>
        <w:rPr>
          <w:rStyle w:val="FootnoteReference"/>
        </w:rPr>
        <w:footnoteReference w:id="207"/>
      </w:r>
    </w:p>
    <w:p w14:paraId="5C05367B" w14:textId="77777777" w:rsidR="00111483" w:rsidRDefault="00111483" w:rsidP="006248AD">
      <w:pPr>
        <w:spacing w:line="240" w:lineRule="auto"/>
      </w:pPr>
    </w:p>
    <w:p w14:paraId="4F07E446" w14:textId="77777777" w:rsidR="00111483" w:rsidRPr="001E1AA1" w:rsidRDefault="00111483" w:rsidP="00111483">
      <w:r w:rsidRPr="001E1AA1">
        <w:t xml:space="preserve">TIEC writes that the cost cap was established to protect customers from cost overruns </w:t>
      </w:r>
      <w:r w:rsidRPr="001E1AA1">
        <w:lastRenderedPageBreak/>
        <w:t xml:space="preserve">“without regard to </w:t>
      </w:r>
      <w:r>
        <w:t xml:space="preserve">the </w:t>
      </w:r>
      <w:r w:rsidRPr="001E1AA1">
        <w:t>circumstances caus</w:t>
      </w:r>
      <w:r>
        <w:t>ing</w:t>
      </w:r>
      <w:r w:rsidRPr="001E1AA1">
        <w:t xml:space="preserve"> the cap to be exceeded or when those circumstances occurred.”</w:t>
      </w:r>
      <w:r w:rsidRPr="001E1AA1">
        <w:rPr>
          <w:vertAlign w:val="superscript"/>
        </w:rPr>
        <w:footnoteReference w:id="208"/>
      </w:r>
      <w:r w:rsidRPr="001E1AA1">
        <w:t xml:space="preserve">  This conclusion appears to be sound and consistent with the language of the Docket No. 33891 order itself:</w:t>
      </w:r>
    </w:p>
    <w:p w14:paraId="7CCD383A" w14:textId="77777777" w:rsidR="00111483" w:rsidRPr="001E1AA1" w:rsidRDefault="00111483" w:rsidP="00A66559">
      <w:pPr>
        <w:spacing w:line="240" w:lineRule="auto"/>
        <w:ind w:left="720" w:right="720" w:firstLine="0"/>
      </w:pPr>
      <w:r w:rsidRPr="001E1AA1">
        <w:t xml:space="preserve">In balancing the risks and benefits of building versus not building base-load generation, the Commission finds that SWEPCO’s plan to build the Turk Plant is the most reasonable approach to meeting the identified future power needs </w:t>
      </w:r>
      <w:r w:rsidRPr="001E1AA1">
        <w:rPr>
          <w:i/>
        </w:rPr>
        <w:t>given the current estimates for costs</w:t>
      </w:r>
      <w:r w:rsidRPr="001E1AA1">
        <w:t>.  If the projected costs for building and operating this plant were higher, the Commission would be unlikely to find that the plant would provide the necessary benefits to consumers and would be likely to find that building the plant would place undue risks to the financial standing of the company.</w:t>
      </w:r>
      <w:r w:rsidRPr="001E1AA1">
        <w:rPr>
          <w:vertAlign w:val="superscript"/>
        </w:rPr>
        <w:footnoteReference w:id="209"/>
      </w:r>
    </w:p>
    <w:p w14:paraId="67F3115D" w14:textId="77777777" w:rsidR="00111483" w:rsidRPr="001E1AA1" w:rsidRDefault="00111483" w:rsidP="00111483">
      <w:pPr>
        <w:spacing w:line="240" w:lineRule="auto"/>
        <w:ind w:left="1440" w:right="1440"/>
      </w:pPr>
    </w:p>
    <w:p w14:paraId="72EE0635" w14:textId="77777777" w:rsidR="00111483" w:rsidRDefault="00111483" w:rsidP="00111483">
      <w:r w:rsidRPr="001E1AA1">
        <w:t xml:space="preserve">The Docket No. 33891 Order supports the view that the Commission determined the building of the Turk Plant was reasonable at the then-current construction cost estimate.  The Order also supports the view that the Commission sought to protect customers to the extent construction costs exceeded the cap, regardless of the circumstances that caused the cap to be exceeded or when those circumstances occurred.  </w:t>
      </w:r>
      <w:r>
        <w:t xml:space="preserve">In other words, it is the act of exceeding the construction cost estimate that triggers the cap.  </w:t>
      </w:r>
      <w:r w:rsidRPr="001E1AA1">
        <w:t>That construction cost cap, in fact, was exceeded in April 2012 and SWEPCO has calculated the actual amount of AFUDC associated with th</w:t>
      </w:r>
      <w:r>
        <w:t>ose funds expended after the cap was exceeded</w:t>
      </w:r>
      <w:r w:rsidRPr="001E1AA1">
        <w:t>.</w:t>
      </w:r>
    </w:p>
    <w:p w14:paraId="30710EE6" w14:textId="77777777" w:rsidR="00111483" w:rsidRDefault="00111483" w:rsidP="00111483">
      <w:r>
        <w:t>In its exceptions, TIEC alleges that the PFD and SWEPCO assume that “the cost overruns were entirely attributable to events in the last 8.5 months of construction.”</w:t>
      </w:r>
      <w:r>
        <w:rPr>
          <w:rStyle w:val="FootnoteReference"/>
        </w:rPr>
        <w:footnoteReference w:id="210"/>
      </w:r>
      <w:r>
        <w:t xml:space="preserve">  No such assumption was made by SWEPCO or in the PFD.  As recognized in TIEC’s own exceptions, the cap operates “without regard to the circumstances causing the cap to be exceeded.”</w:t>
      </w:r>
      <w:r>
        <w:rPr>
          <w:rStyle w:val="FootnoteReference"/>
        </w:rPr>
        <w:footnoteReference w:id="211"/>
      </w:r>
      <w:r>
        <w:t xml:space="preserve">  Instead, it is the act of exceeding SWEPCO’s Docket No. 33891 construction cost estimate that triggers the cost cap.  It cannot be denied that event occurred in April 2012.</w:t>
      </w:r>
    </w:p>
    <w:p w14:paraId="7C5559C1" w14:textId="77777777" w:rsidR="00111483" w:rsidRDefault="00111483" w:rsidP="00111483">
      <w:r>
        <w:t xml:space="preserve">Despite its statements that the cost cap operates without regard to the circumstances that may have contributed to the cap being exceeded or when those circumstances may have </w:t>
      </w:r>
      <w:r>
        <w:lastRenderedPageBreak/>
        <w:t xml:space="preserve">occurred, TIEC tries to attribute investment that exceeded the cost cap with </w:t>
      </w:r>
      <w:r w:rsidRPr="00C676A0">
        <w:rPr>
          <w:b/>
          <w:i/>
        </w:rPr>
        <w:t>events</w:t>
      </w:r>
      <w:r>
        <w:t xml:space="preserve"> occurring far before that cap was in fact exceeded.  Again, it is the act of exceeding the construction cost estimate that triggers the cap, not events.  Nonetheless, TIEC writes that, in Docket No. 33891, “the Commission imposed a cost cap on the Turk Plant to protect ratepayers from </w:t>
      </w:r>
      <w:r w:rsidRPr="00C676A0">
        <w:rPr>
          <w:b/>
          <w:i/>
        </w:rPr>
        <w:t>cost overruns that were already occurring</w:t>
      </w:r>
      <w:r>
        <w:t>.”</w:t>
      </w:r>
      <w:r>
        <w:rPr>
          <w:rStyle w:val="FootnoteReference"/>
        </w:rPr>
        <w:footnoteReference w:id="212"/>
      </w:r>
      <w:r>
        <w:t xml:space="preserve">  This statement is diametrically opposed to TIEC’s earlier statement that the cap operates regardless of the events that may have caused the cap to be exceeded or the timing thereof.</w:t>
      </w:r>
    </w:p>
    <w:p w14:paraId="716136E6" w14:textId="77777777" w:rsidR="00111483" w:rsidRDefault="00111483" w:rsidP="00111483">
      <w:r>
        <w:t>Clearly, TIEC is asking the Commission to disallow AFUDC associated with funds expended well before the cost cap was actually exceeded.  A disallowance of AFUDC on funds expended before the cost cap was actually exceeded in April 2012 would amount to a collateral attack on the Commission’s order in Docket No. 40443.  T</w:t>
      </w:r>
      <w:r w:rsidRPr="001E1AA1">
        <w:t>he Commission’s order in Docket No. 40443 finds</w:t>
      </w:r>
      <w:r>
        <w:t>,</w:t>
      </w:r>
      <w:r w:rsidRPr="001E1AA1">
        <w:t xml:space="preserve"> with only a single small exception</w:t>
      </w:r>
      <w:r>
        <w:t>,</w:t>
      </w:r>
      <w:r w:rsidRPr="001E1AA1">
        <w:t xml:space="preserve"> that all of SWEPCO’s investment in the Turk plant </w:t>
      </w:r>
      <w:r>
        <w:t xml:space="preserve">through December 2011 (the end of the test year in Docket No. 40443) </w:t>
      </w:r>
      <w:r w:rsidRPr="001E1AA1">
        <w:t xml:space="preserve">was prudent and included that investment in SWEPCO’s rate base </w:t>
      </w:r>
      <w:r w:rsidRPr="00AC2E2F">
        <w:rPr>
          <w:b/>
          <w:i/>
        </w:rPr>
        <w:t>including all AFUDC on that investment</w:t>
      </w:r>
      <w:r w:rsidRPr="001E1AA1">
        <w:t>.  Specifically, the Commission found “continued construction of the Turk plant was reasonably prudent and that Texas’s jurisdictional share up to the limit of the cost cap imposed in Docket No. 33891 should be included in rate base.”</w:t>
      </w:r>
      <w:r w:rsidRPr="001E1AA1">
        <w:rPr>
          <w:vertAlign w:val="superscript"/>
        </w:rPr>
        <w:footnoteReference w:id="213"/>
      </w:r>
      <w:r w:rsidRPr="001E1AA1">
        <w:t xml:space="preserve">  TIEC now asks the </w:t>
      </w:r>
      <w:r>
        <w:t xml:space="preserve">Commission to find that investment occurring before April 2012 (and even before December 2011) somehow </w:t>
      </w:r>
      <w:r w:rsidRPr="001E1AA1">
        <w:t xml:space="preserve">“caused” SWEPCO to exceed the construction cost cap and disallow AFUDC associated with </w:t>
      </w:r>
      <w:r>
        <w:t xml:space="preserve">that </w:t>
      </w:r>
      <w:r w:rsidRPr="001E1AA1">
        <w:t>investment</w:t>
      </w:r>
      <w:r>
        <w:t xml:space="preserve">.  But, this is the very same investment and AFUDC </w:t>
      </w:r>
      <w:r w:rsidRPr="001E1AA1">
        <w:t>the Commission has already found prudent and included in rate base</w:t>
      </w:r>
      <w:r>
        <w:t xml:space="preserve"> in Docket No. 40443</w:t>
      </w:r>
      <w:r w:rsidRPr="001E1AA1">
        <w:t xml:space="preserve">.  </w:t>
      </w:r>
      <w:r>
        <w:t xml:space="preserve">In other words, </w:t>
      </w:r>
      <w:r w:rsidRPr="001E1AA1">
        <w:t xml:space="preserve">TIEC is advocating </w:t>
      </w:r>
      <w:r>
        <w:t xml:space="preserve">for a disallowance of </w:t>
      </w:r>
      <w:r w:rsidRPr="001E1AA1">
        <w:t>AFUDC that the Commission has already deemed prudent and included in rates.</w:t>
      </w:r>
    </w:p>
    <w:p w14:paraId="39840413" w14:textId="77777777" w:rsidR="00111483" w:rsidRDefault="00111483" w:rsidP="00111483">
      <w:r>
        <w:t>TIEC concedes that there is no “dispute that AFUDC associated with the 13.8% of construction costs in excess of the cost cap should be excluded from SWEPCO’s rate base.”</w:t>
      </w:r>
      <w:r>
        <w:rPr>
          <w:rStyle w:val="FootnoteReference"/>
        </w:rPr>
        <w:footnoteReference w:id="214"/>
      </w:r>
      <w:r>
        <w:t xml:space="preserve">  SWEPCO agrees and has excluded from rate base all AFUDC associated with those funds </w:t>
      </w:r>
      <w:r>
        <w:lastRenderedPageBreak/>
        <w:t>expended in excess of the cost cap.  TIEC frames the question as “how much in financing costs are associated with the 13.8% of direct costs that are in excess of the cap.”</w:t>
      </w:r>
      <w:r>
        <w:rPr>
          <w:rStyle w:val="FootnoteReference"/>
        </w:rPr>
        <w:footnoteReference w:id="215"/>
      </w:r>
      <w:r>
        <w:t xml:space="preserve">  Yet, there is no question regarding the amount of these financing costs.  The “13.8% of direct costs that are in excess of the cap”</w:t>
      </w:r>
      <w:r>
        <w:rPr>
          <w:rStyle w:val="FootnoteReference"/>
        </w:rPr>
        <w:footnoteReference w:id="216"/>
      </w:r>
      <w:r>
        <w:t xml:space="preserve"> is not some nebulous, randomly distributed amount of investment made throughout the construction of the Turk plant.  Instead, it is exactly the amount of investment made after the cap was exceeded in April 2012.  That is the investment on which SWEPCO calculated AFUDC and excluded from rate base.  </w:t>
      </w:r>
      <w:r w:rsidRPr="001E1AA1">
        <w:t xml:space="preserve">There is simply no factual basis for </w:t>
      </w:r>
      <w:r>
        <w:t xml:space="preserve">TIEC’s </w:t>
      </w:r>
      <w:r w:rsidRPr="001E1AA1">
        <w:t>request</w:t>
      </w:r>
      <w:r>
        <w:t xml:space="preserve">, and that request </w:t>
      </w:r>
      <w:r w:rsidRPr="001E1AA1">
        <w:t>is contrary to the Commission’s finding that SWEPCO’s investment in the Turk plant</w:t>
      </w:r>
      <w:r>
        <w:t>, and its associated AFUDC,</w:t>
      </w:r>
      <w:r w:rsidRPr="001E1AA1">
        <w:t xml:space="preserve"> through December 2011 was prudent.</w:t>
      </w:r>
    </w:p>
    <w:p w14:paraId="189D23BF" w14:textId="77777777" w:rsidR="0032615D" w:rsidRDefault="0032615D" w:rsidP="003A17DF">
      <w:pPr>
        <w:pStyle w:val="Heading2"/>
        <w:numPr>
          <w:ilvl w:val="0"/>
          <w:numId w:val="28"/>
        </w:numPr>
        <w:ind w:hanging="720"/>
      </w:pPr>
      <w:bookmarkStart w:id="26" w:name="_Toc497123822"/>
      <w:r w:rsidRPr="00D22DDD">
        <w:t>Transmission</w:t>
      </w:r>
      <w:r>
        <w:t xml:space="preserve"> and Distribution Capital Projects</w:t>
      </w:r>
      <w:bookmarkEnd w:id="26"/>
      <w:r>
        <w:t xml:space="preserve"> </w:t>
      </w:r>
    </w:p>
    <w:p w14:paraId="5F711DDE" w14:textId="77777777" w:rsidR="0032615D" w:rsidRDefault="0032615D" w:rsidP="003A17DF">
      <w:pPr>
        <w:pStyle w:val="Heading3"/>
        <w:keepNext w:val="0"/>
        <w:numPr>
          <w:ilvl w:val="0"/>
          <w:numId w:val="22"/>
        </w:numPr>
      </w:pPr>
      <w:bookmarkStart w:id="27" w:name="_Toc497123823"/>
      <w:r w:rsidRPr="00064F37">
        <w:t xml:space="preserve">Capitalized </w:t>
      </w:r>
      <w:r w:rsidRPr="004A2F28">
        <w:t>Vegetation</w:t>
      </w:r>
      <w:r w:rsidRPr="00064F37">
        <w:t xml:space="preserve"> Management</w:t>
      </w:r>
      <w:r>
        <w:t xml:space="preserve"> </w:t>
      </w:r>
      <w:r w:rsidRPr="00064F37">
        <w:t>Costs</w:t>
      </w:r>
      <w:bookmarkEnd w:id="27"/>
    </w:p>
    <w:p w14:paraId="1193B26E" w14:textId="77777777" w:rsidR="0032615D" w:rsidRDefault="0032615D" w:rsidP="0032615D">
      <w:r>
        <w:t>CARD contests the PFD’s conclusion that SWEPCO’s test year capitalized vegetation management costs</w:t>
      </w:r>
      <w:r w:rsidRPr="002E7EA2">
        <w:t xml:space="preserve"> of $</w:t>
      </w:r>
      <w:r>
        <w:t>912,193</w:t>
      </w:r>
      <w:r w:rsidRPr="002E7EA2">
        <w:t xml:space="preserve"> for transmission and $</w:t>
      </w:r>
      <w:r>
        <w:t>633,832</w:t>
      </w:r>
      <w:r w:rsidRPr="002E7EA2">
        <w:t xml:space="preserve"> for distribution should </w:t>
      </w:r>
      <w:r>
        <w:t>be recovered as O&amp;M.</w:t>
      </w:r>
      <w:r>
        <w:rPr>
          <w:rStyle w:val="FootnoteReference"/>
        </w:rPr>
        <w:footnoteReference w:id="217"/>
      </w:r>
      <w:r>
        <w:t xml:space="preserve">  CARD essentially re-urges its position that the test year amounts all be written off from plant and nothing be included in O&amp;M.  CARD incorrectly argues that SWEPCO presented no evidence to support that these transmission and distribution costs are recurring and, thus, should not be categorized as O&amp;M.  SWEPCO presented evidence that the pertinent transmission and distribution costs are not only recurring but are correctly categorized as capitalized vegetation management.  Furthermore, SWEPCO presented evidence to support all of its other transmission and distribution test year capital costs, </w:t>
      </w:r>
      <w:r w:rsidR="0072458C">
        <w:t>in addition to</w:t>
      </w:r>
      <w:r>
        <w:t xml:space="preserve"> the identified capitalized vegetation management costs.  The PFD correctly determined that the test year T&amp;D capitalized vegetation management costs are recurring</w:t>
      </w:r>
      <w:r w:rsidR="0072458C">
        <w:t>,</w:t>
      </w:r>
      <w:r>
        <w:t xml:space="preserve"> although SWEPCO continues to maintain as addressed in its Exceptions that the PFD erred in determining that the costs should be categorized as O&amp;M.</w:t>
      </w:r>
    </w:p>
    <w:p w14:paraId="6A30E533" w14:textId="77777777" w:rsidR="0032615D" w:rsidRDefault="0032615D" w:rsidP="0032615D">
      <w:r>
        <w:t xml:space="preserve">CARD argues that SWEPCO presented no evidence that the test year transmission and distribution costs are recurring, but admits that the Company presented evidence demonstrating </w:t>
      </w:r>
      <w:r>
        <w:lastRenderedPageBreak/>
        <w:t xml:space="preserve">the costs that were expended for both transmission and distribution capitalized vegetation management </w:t>
      </w:r>
      <w:r w:rsidR="00E9474C">
        <w:t xml:space="preserve">and recurred </w:t>
      </w:r>
      <w:r>
        <w:t>from 2012-2016.</w:t>
      </w:r>
      <w:r>
        <w:rPr>
          <w:rStyle w:val="FootnoteReference"/>
        </w:rPr>
        <w:footnoteReference w:id="218"/>
      </w:r>
      <w:r>
        <w:t xml:space="preserve">  Additionally, SWEPCO presented evidence that the transmission and distribution capitalized vegetation management costs are indeed recurring in nature and part of SWEPCO’s programs to ensure the safe, reliable operation of the transmission and distribution systems.</w:t>
      </w:r>
      <w:r>
        <w:rPr>
          <w:rStyle w:val="FootnoteReference"/>
        </w:rPr>
        <w:footnoteReference w:id="219"/>
      </w:r>
      <w:r>
        <w:t xml:space="preserve">  The Company also supported the test year level costs of </w:t>
      </w:r>
      <w:r w:rsidRPr="002E7EA2">
        <w:t>$</w:t>
      </w:r>
      <w:r>
        <w:t>912,193</w:t>
      </w:r>
      <w:r w:rsidRPr="002E7EA2">
        <w:t xml:space="preserve"> for transmission and $</w:t>
      </w:r>
      <w:r>
        <w:t>633,832 for distribution to be recovered, even if ultimately ordered to be recovered as O&amp;M.</w:t>
      </w:r>
      <w:r>
        <w:rPr>
          <w:rStyle w:val="FootnoteReference"/>
        </w:rPr>
        <w:footnoteReference w:id="220"/>
      </w:r>
      <w:r>
        <w:t xml:space="preserve">  Consistent with this </w:t>
      </w:r>
      <w:proofErr w:type="gramStart"/>
      <w:r>
        <w:t>evidence,</w:t>
      </w:r>
      <w:proofErr w:type="gramEnd"/>
      <w:r>
        <w:t xml:space="preserve"> the PFD adopts Staff’s recommendation that the test year costs should be reclassified as O&amp;M.</w:t>
      </w:r>
    </w:p>
    <w:p w14:paraId="70D5BB0D" w14:textId="77777777" w:rsidR="0032615D" w:rsidRDefault="0032615D" w:rsidP="0032615D">
      <w:r>
        <w:t>CARD contends that no information was presented to isolate the costs “that were legitimately capitalized such as for initial right-of way clearing, and those subsequent costs which should not have been capitalized.”</w:t>
      </w:r>
      <w:r>
        <w:rPr>
          <w:rStyle w:val="FootnoteReference"/>
        </w:rPr>
        <w:footnoteReference w:id="221"/>
      </w:r>
      <w:r>
        <w:t xml:space="preserve">  SWEPCO presented evidence of exactly the information that CARD claims does not exist.  SWEPCO quantified </w:t>
      </w:r>
      <w:r w:rsidRPr="002E7EA2">
        <w:t>$</w:t>
      </w:r>
      <w:r>
        <w:t>912,193</w:t>
      </w:r>
      <w:r w:rsidRPr="002E7EA2">
        <w:t xml:space="preserve"> for transmission and $</w:t>
      </w:r>
      <w:r>
        <w:t>633,832</w:t>
      </w:r>
      <w:r w:rsidRPr="002E7EA2">
        <w:t xml:space="preserve"> for distribution</w:t>
      </w:r>
      <w:r>
        <w:t xml:space="preserve"> as test year costs that should be recovered as capitalized vegetation management expense.  Even if the Commission determines that these test year costs should be recovered as O&amp;M, the afore-mentioned amounts represent the costs that should be recovered in that category of expense.</w:t>
      </w:r>
      <w:r>
        <w:rPr>
          <w:rStyle w:val="FootnoteReference"/>
        </w:rPr>
        <w:footnoteReference w:id="222"/>
      </w:r>
      <w:r>
        <w:t xml:space="preserve">  For all other expenses that are categorized as capital, the record evidence supports SWEPCO’s recovery of such costs as inclusive of $92.7 million in transmission and $157 million in distribution capital costs.</w:t>
      </w:r>
      <w:r>
        <w:rPr>
          <w:rStyle w:val="FootnoteReference"/>
        </w:rPr>
        <w:footnoteReference w:id="223"/>
      </w:r>
      <w:r>
        <w:t xml:space="preserve">  CARD’s complaint that it cannot isolate “legitimate” capitalized costs is belied by the fact that Staff was able to review SWEPCO’s testimony and discovery and verify to their satisfaction the information to reach a </w:t>
      </w:r>
      <w:r>
        <w:lastRenderedPageBreak/>
        <w:t>conclusion on what should be included and what should be excluded from T&amp;D capital.</w:t>
      </w:r>
      <w:r>
        <w:rPr>
          <w:rStyle w:val="FootnoteReference"/>
        </w:rPr>
        <w:footnoteReference w:id="224"/>
      </w:r>
      <w:r>
        <w:t xml:space="preserve">  The PFD adopts Staff’s recommendation on what costs should be capitalized and what should be reclassified as transmission and distribution O&amp;M, including the </w:t>
      </w:r>
      <w:r w:rsidRPr="002E7EA2">
        <w:t>$</w:t>
      </w:r>
      <w:r>
        <w:t>912,193</w:t>
      </w:r>
      <w:r w:rsidRPr="002E7EA2">
        <w:t xml:space="preserve"> for transmission and $</w:t>
      </w:r>
      <w:r>
        <w:t>633,832</w:t>
      </w:r>
      <w:r w:rsidRPr="002E7EA2">
        <w:t xml:space="preserve"> for distribution</w:t>
      </w:r>
      <w:r>
        <w:t xml:space="preserve"> test year capitalized vegetation management costs.</w:t>
      </w:r>
      <w:r>
        <w:rPr>
          <w:rStyle w:val="FootnoteReference"/>
        </w:rPr>
        <w:footnoteReference w:id="225"/>
      </w:r>
      <w:r>
        <w:t xml:space="preserve">  While SWEPCO disagrees with the PFD’s conclusions</w:t>
      </w:r>
      <w:r w:rsidR="00FA657C" w:rsidRPr="00FA657C">
        <w:t xml:space="preserve"> </w:t>
      </w:r>
      <w:r w:rsidR="00FA657C">
        <w:t xml:space="preserve">as addressed in the Company’s exceptions, </w:t>
      </w:r>
      <w:r>
        <w:t xml:space="preserve">the PFD </w:t>
      </w:r>
      <w:r w:rsidR="0072458C">
        <w:t>identified</w:t>
      </w:r>
      <w:r>
        <w:t xml:space="preserve"> these </w:t>
      </w:r>
      <w:r w:rsidR="0072458C">
        <w:t xml:space="preserve">particular </w:t>
      </w:r>
      <w:r>
        <w:t>test year capitalized vegetation management T&amp;D costs, recommend</w:t>
      </w:r>
      <w:r w:rsidR="00FA657C">
        <w:t>s</w:t>
      </w:r>
      <w:r>
        <w:t xml:space="preserve"> removal of the costs from capital investment and </w:t>
      </w:r>
      <w:r w:rsidR="0072458C">
        <w:t>their</w:t>
      </w:r>
      <w:r>
        <w:t xml:space="preserve"> recover</w:t>
      </w:r>
      <w:r w:rsidR="0072458C">
        <w:t>y</w:t>
      </w:r>
      <w:r>
        <w:t xml:space="preserve"> as O&amp;M.</w:t>
      </w:r>
      <w:r>
        <w:rPr>
          <w:rStyle w:val="FootnoteReference"/>
        </w:rPr>
        <w:footnoteReference w:id="226"/>
      </w:r>
    </w:p>
    <w:p w14:paraId="5275E6A5" w14:textId="77777777" w:rsidR="004D2392" w:rsidRPr="00D22DDD" w:rsidRDefault="004D2392" w:rsidP="003A17DF">
      <w:pPr>
        <w:pStyle w:val="Heading2"/>
        <w:numPr>
          <w:ilvl w:val="0"/>
          <w:numId w:val="29"/>
        </w:numPr>
        <w:spacing w:after="120"/>
        <w:ind w:hanging="720"/>
      </w:pPr>
      <w:bookmarkStart w:id="28" w:name="_Toc497123824"/>
      <w:r w:rsidRPr="00D22DDD">
        <w:t>Dolet Hills Target Lignite Inventory Level</w:t>
      </w:r>
      <w:bookmarkEnd w:id="28"/>
      <w:r w:rsidRPr="00D22DDD">
        <w:t xml:space="preserve"> </w:t>
      </w:r>
    </w:p>
    <w:p w14:paraId="101E2AA0" w14:textId="77777777" w:rsidR="004D2392" w:rsidRPr="00A402E8" w:rsidRDefault="004D2392" w:rsidP="004D2392">
      <w:r w:rsidRPr="00A402E8">
        <w:t xml:space="preserve">The purpose of maintaining solid fuel inventories is to assure a continuous supply of coal and lignite of the appropriate quality to AEP’s solid-fuel generating stations, delivered at the lowest reasonable cost over a period of years so as to promote generation </w:t>
      </w:r>
      <w:r>
        <w:t>at</w:t>
      </w:r>
      <w:r w:rsidRPr="00A402E8">
        <w:t xml:space="preserve"> the lowest cost per kWh of electricity, within the constraints of safety, reliability of supply, unit design, and environmental requirements.  </w:t>
      </w:r>
      <w:r>
        <w:t>“</w:t>
      </w:r>
      <w:r w:rsidRPr="00A402E8">
        <w:t>The factors that influence planned inventory levels include the probability of interruptions of the fuel supply, how long such interruptions may last, and how much fuel is necessary to provide for these contingencies.</w:t>
      </w:r>
      <w:r>
        <w:t>”</w:t>
      </w:r>
      <w:r w:rsidRPr="00A402E8">
        <w:rPr>
          <w:vertAlign w:val="superscript"/>
        </w:rPr>
        <w:footnoteReference w:id="227"/>
      </w:r>
    </w:p>
    <w:p w14:paraId="7055F811" w14:textId="77777777" w:rsidR="004D2392" w:rsidRPr="00A402E8" w:rsidRDefault="004D2392" w:rsidP="004D2392">
      <w:r w:rsidRPr="00A402E8">
        <w:t xml:space="preserve">As it relates to the </w:t>
      </w:r>
      <w:r>
        <w:t xml:space="preserve">jointly owned </w:t>
      </w:r>
      <w:r w:rsidRPr="00A402E8">
        <w:t>Dolet Hills lignite plant, per the operating agreement between SWEPCO, Northeast Texas Electric Cooperative, Inc., Oklahoma Municipal Power Authority, and Cleco Power LLC (Cleco), Cleco has the duty and responsibility for operating the Plant, including setting the inventory targets.  Cleco has been operating the Dolet Hills Plant for more than 30 years</w:t>
      </w:r>
      <w:r>
        <w:t>,</w:t>
      </w:r>
      <w:r w:rsidRPr="00A402E8">
        <w:t xml:space="preserve"> has extensive experience in evaluating inventory risks</w:t>
      </w:r>
      <w:r>
        <w:t>,</w:t>
      </w:r>
      <w:r w:rsidRPr="00A402E8">
        <w:t xml:space="preserve"> and has used the 45 day target for many years.</w:t>
      </w:r>
      <w:r w:rsidRPr="00A402E8">
        <w:rPr>
          <w:vertAlign w:val="superscript"/>
        </w:rPr>
        <w:footnoteReference w:id="228"/>
      </w:r>
      <w:r w:rsidRPr="00A402E8">
        <w:t xml:space="preserve">  </w:t>
      </w:r>
      <w:r w:rsidR="00F07275" w:rsidRPr="00F07275">
        <w:t>The ALJs found that “SWEPCO presented sufficient evidence to demonstrate that setting a 45-day inventory target for Dolet Hills is prudent.”</w:t>
      </w:r>
      <w:r w:rsidR="00F07275" w:rsidRPr="00F07275">
        <w:rPr>
          <w:rStyle w:val="FootnoteReference"/>
        </w:rPr>
        <w:footnoteReference w:id="229"/>
      </w:r>
      <w:r w:rsidR="00F07275" w:rsidRPr="00F07275">
        <w:t xml:space="preserve">  This is the same </w:t>
      </w:r>
      <w:r w:rsidR="00F07275" w:rsidRPr="00F07275">
        <w:lastRenderedPageBreak/>
        <w:t>level approved in Docket No. 40443.</w:t>
      </w:r>
      <w:r w:rsidR="00F07275">
        <w:t xml:space="preserve">  </w:t>
      </w:r>
      <w:r w:rsidRPr="00A402E8">
        <w:t xml:space="preserve">Only CARD challenges the target inventory level at the plant and recommends that the target inventory for the plant be lowered to 40 days.  CARD’s </w:t>
      </w:r>
      <w:r>
        <w:t xml:space="preserve">exceptions attempt to minimize and obfuscate </w:t>
      </w:r>
      <w:r w:rsidRPr="00A402E8">
        <w:t>the underlying inventory risk factors for the Dolet Hills plant.</w:t>
      </w:r>
    </w:p>
    <w:p w14:paraId="2D1A8A01" w14:textId="77777777" w:rsidR="004D2392" w:rsidRDefault="004D2392" w:rsidP="004D2392">
      <w:r w:rsidRPr="00A402E8">
        <w:t xml:space="preserve">CARD </w:t>
      </w:r>
      <w:r>
        <w:t xml:space="preserve">begins by </w:t>
      </w:r>
      <w:r w:rsidRPr="00A402E8">
        <w:t>observ</w:t>
      </w:r>
      <w:r>
        <w:t xml:space="preserve">ing </w:t>
      </w:r>
      <w:r w:rsidRPr="00A402E8">
        <w:t xml:space="preserve">that SWEPCO has </w:t>
      </w:r>
      <w:r>
        <w:t xml:space="preserve">proactively </w:t>
      </w:r>
      <w:r w:rsidRPr="00A402E8">
        <w:t>lowered the target inventory levels for its coal plants but not for its lignite plants.</w:t>
      </w:r>
      <w:r w:rsidRPr="00A402E8">
        <w:rPr>
          <w:vertAlign w:val="superscript"/>
        </w:rPr>
        <w:footnoteReference w:id="230"/>
      </w:r>
      <w:r w:rsidRPr="00A402E8">
        <w:t xml:space="preserve">  CARD</w:t>
      </w:r>
      <w:r>
        <w:t xml:space="preserve">’s exceptions </w:t>
      </w:r>
      <w:r w:rsidRPr="00A402E8">
        <w:t xml:space="preserve">fail to </w:t>
      </w:r>
      <w:r>
        <w:t xml:space="preserve">recognize </w:t>
      </w:r>
      <w:r w:rsidRPr="00A402E8">
        <w:t xml:space="preserve">that inventory targets are considered on an individual plant basis and associated risk profile.  As it relates to the inventory target reduction for the coal plants, these plants have benefitted from improved Powder River Basin coal availability and rail delivery performance.  Consequently, the supply and transportation risks were reduced, as well as the corresponding number of days of coal inventory required.  </w:t>
      </w:r>
      <w:r>
        <w:t>“</w:t>
      </w:r>
      <w:r w:rsidRPr="00A402E8">
        <w:t>This was not the case at the lignite mine-mouth plants, where lignite must be transported from the mine to the plant, and there has not been any reduction in the supply or transportation risks.</w:t>
      </w:r>
      <w:r>
        <w:t>”</w:t>
      </w:r>
      <w:r w:rsidRPr="00A402E8">
        <w:rPr>
          <w:vertAlign w:val="superscript"/>
        </w:rPr>
        <w:footnoteReference w:id="231"/>
      </w:r>
      <w:r w:rsidRPr="00A402E8">
        <w:t xml:space="preserve">  In fact, for Dolet Hills, </w:t>
      </w:r>
      <w:r>
        <w:t>t</w:t>
      </w:r>
      <w:r w:rsidRPr="00A402E8">
        <w:t>he risk of supply and transportation disruption has actually increased.</w:t>
      </w:r>
    </w:p>
    <w:p w14:paraId="6E2D1C81" w14:textId="77777777" w:rsidR="004D2392" w:rsidRDefault="004D2392" w:rsidP="004D2392">
      <w:r>
        <w:t xml:space="preserve">At Dolet Hills, lignite is transported from the mine to the plant by a conveyer belt that is several miles long.  </w:t>
      </w:r>
      <w:r w:rsidRPr="00495011">
        <w:t xml:space="preserve">If a significant </w:t>
      </w:r>
      <w:r>
        <w:t xml:space="preserve">failure </w:t>
      </w:r>
      <w:r w:rsidRPr="00495011">
        <w:t xml:space="preserve">of the system occurred, the plant could not receive sufficient quantities of lignite from </w:t>
      </w:r>
      <w:r>
        <w:t xml:space="preserve">the mine </w:t>
      </w:r>
      <w:r w:rsidRPr="00495011">
        <w:t xml:space="preserve">until </w:t>
      </w:r>
      <w:r>
        <w:t xml:space="preserve">the conveyer </w:t>
      </w:r>
      <w:r w:rsidRPr="00495011">
        <w:t xml:space="preserve">is repaired. </w:t>
      </w:r>
      <w:r>
        <w:t xml:space="preserve"> “</w:t>
      </w:r>
      <w:r w:rsidRPr="00495011">
        <w:t>Only a small amount of lignite can be delivered via truck and, without haul road access to the plant, must utilize public thoroughfares that introduce weight and capacity limitations</w:t>
      </w:r>
      <w:r>
        <w:t>.”</w:t>
      </w:r>
      <w:r>
        <w:rPr>
          <w:rStyle w:val="FootnoteReference"/>
        </w:rPr>
        <w:footnoteReference w:id="232"/>
      </w:r>
      <w:r>
        <w:t xml:space="preserve">  None of these facts are challenged by CARD.</w:t>
      </w:r>
    </w:p>
    <w:p w14:paraId="53AB8064" w14:textId="77777777" w:rsidR="004D2392" w:rsidRDefault="004D2392" w:rsidP="004D2392">
      <w:r w:rsidRPr="00A402E8">
        <w:t>The lignite reserve</w:t>
      </w:r>
      <w:r>
        <w:t xml:space="preserve"> area</w:t>
      </w:r>
      <w:r w:rsidRPr="00A402E8">
        <w:t xml:space="preserve">s </w:t>
      </w:r>
      <w:r>
        <w:t xml:space="preserve">that were being mined during the test year from SWEPCO’s previous rate case </w:t>
      </w:r>
      <w:r w:rsidRPr="00A402E8">
        <w:t xml:space="preserve">have been depleted and all of the draglines </w:t>
      </w:r>
      <w:r>
        <w:t xml:space="preserve">(which extract the lignite from the mine) </w:t>
      </w:r>
      <w:r w:rsidRPr="00A402E8">
        <w:t>and mining operations are moving to the Oxbow reserves, an adjacent lignite reserve situated further from the Dolet Hills plant</w:t>
      </w:r>
      <w:r>
        <w:t xml:space="preserve">.  This move </w:t>
      </w:r>
      <w:r w:rsidRPr="00A402E8">
        <w:t>add</w:t>
      </w:r>
      <w:r>
        <w:t>s</w:t>
      </w:r>
      <w:r w:rsidRPr="00A402E8">
        <w:t xml:space="preserve"> approximately five miles to the length of the conveyor belt for a total distance of twelve miles.  This increase of approximately 71% in the length of the conveyor belt only increases the possibility and potential length of an </w:t>
      </w:r>
      <w:r w:rsidRPr="00A402E8">
        <w:lastRenderedPageBreak/>
        <w:t xml:space="preserve">unplanned outage for lignite deliveries to the Dolet Hills plant.  </w:t>
      </w:r>
      <w:r>
        <w:t>“</w:t>
      </w:r>
      <w:r w:rsidRPr="00A402E8">
        <w:t>This increased risk affirms the target inventory of 45 days, and even suggests that an increase in the target should be considered.</w:t>
      </w:r>
      <w:r>
        <w:t>”</w:t>
      </w:r>
      <w:r w:rsidRPr="00A402E8">
        <w:rPr>
          <w:vertAlign w:val="superscript"/>
        </w:rPr>
        <w:footnoteReference w:id="233"/>
      </w:r>
      <w:r w:rsidRPr="00A402E8">
        <w:t xml:space="preserve">  </w:t>
      </w:r>
      <w:r>
        <w:t>As the ALJs correctly note, “</w:t>
      </w:r>
      <w:r w:rsidRPr="006404BE">
        <w:t>the increased total length logically presents more places where mechanical problems could arise, and back-up supplies from the Oxbow reserve are significantly farther away than they were before</w:t>
      </w:r>
      <w:r>
        <w:t>.”</w:t>
      </w:r>
      <w:r>
        <w:rPr>
          <w:rStyle w:val="FootnoteReference"/>
        </w:rPr>
        <w:footnoteReference w:id="234"/>
      </w:r>
    </w:p>
    <w:p w14:paraId="75695C02" w14:textId="77777777" w:rsidR="004D2392" w:rsidRPr="00A402E8" w:rsidRDefault="004D2392" w:rsidP="004D2392">
      <w:r w:rsidRPr="00A402E8">
        <w:t>CARD states that the longest supply disruption for the period 2006-2010 at Dolet Hills was 36 days.  However, CARD concedes th</w:t>
      </w:r>
      <w:r>
        <w:t>is</w:t>
      </w:r>
      <w:r w:rsidRPr="00A402E8">
        <w:t xml:space="preserve"> disruption “was due to damage to the conveyer belt system used to move lignite from the Dolet Hills mine to the Dolet Hills plant”</w:t>
      </w:r>
      <w:r w:rsidRPr="00A402E8">
        <w:rPr>
          <w:vertAlign w:val="superscript"/>
        </w:rPr>
        <w:footnoteReference w:id="235"/>
      </w:r>
      <w:r>
        <w:t xml:space="preserve"> – the very risk that has now increased since the Commission accepted a 45 day inventory at the Dolet Hills plant.</w:t>
      </w:r>
      <w:r w:rsidRPr="00A402E8">
        <w:t xml:space="preserve">  The fact is that even 45 days of inventory could leave the plant with only a nine day supply</w:t>
      </w:r>
      <w:r>
        <w:t xml:space="preserve"> in the event of another 36 day supply disruption</w:t>
      </w:r>
      <w:r w:rsidRPr="00A402E8">
        <w:t>, which is dangerously low and could lead to de-rating the plant or loss of all generation output if any other type of supply disruption occurred concurrently.</w:t>
      </w:r>
      <w:r w:rsidRPr="00A402E8">
        <w:rPr>
          <w:vertAlign w:val="superscript"/>
        </w:rPr>
        <w:footnoteReference w:id="236"/>
      </w:r>
    </w:p>
    <w:p w14:paraId="65FBB734" w14:textId="77777777" w:rsidR="004D2392" w:rsidRPr="00A402E8" w:rsidRDefault="004D2392" w:rsidP="004D2392">
      <w:r w:rsidRPr="00A402E8">
        <w:t>Lastly, CARD alleges historic inventory levels from July 2012 through June 2016 have, on average, been lower than 45 days.  The calculations on which CARD relies contains an error and do not acknowledge key factors that influence</w:t>
      </w:r>
      <w:r>
        <w:t>d</w:t>
      </w:r>
      <w:r w:rsidRPr="00A402E8">
        <w:t xml:space="preserve"> lignite inventory levels at the plant </w:t>
      </w:r>
      <w:r>
        <w:t>during this time</w:t>
      </w:r>
      <w:r w:rsidRPr="00A402E8">
        <w:t>.  First, CARD</w:t>
      </w:r>
      <w:r>
        <w:t>’s calculation</w:t>
      </w:r>
      <w:r w:rsidRPr="00A402E8">
        <w:t xml:space="preserve"> is based solely on the lignite inventory at the plant and does</w:t>
      </w:r>
      <w:r>
        <w:t xml:space="preserve"> </w:t>
      </w:r>
      <w:r w:rsidRPr="00A402E8">
        <w:t xml:space="preserve">not consider the lignite that is mined during planned outages and stored </w:t>
      </w:r>
      <w:r w:rsidRPr="00E36490">
        <w:rPr>
          <w:i/>
        </w:rPr>
        <w:t>at the mine</w:t>
      </w:r>
      <w:r w:rsidRPr="00A402E8">
        <w:t>, and then conveyed to the plant once the planned outage ends.  Further, in the review of CARD</w:t>
      </w:r>
      <w:r>
        <w:t>’s calculation</w:t>
      </w:r>
      <w:r w:rsidRPr="00A402E8">
        <w:t>, the March 2015 value appeared to be an outlier and, when researched during the preparation of Ms. Mills</w:t>
      </w:r>
      <w:r>
        <w:t>’</w:t>
      </w:r>
      <w:r w:rsidRPr="00A402E8">
        <w:t xml:space="preserve"> rebuttal testimony, it was determined that an accounting revision had occurred, but was not identified on SWEPCO’s original source document.  When the revision is included, the average lignite inventory at the plant increased to 35.2 days in March 2015</w:t>
      </w:r>
      <w:r>
        <w:t>, an amount significantly higher than used in CARD’s calculation</w:t>
      </w:r>
      <w:r w:rsidRPr="00A402E8">
        <w:t>.</w:t>
      </w:r>
      <w:r w:rsidRPr="00A402E8">
        <w:rPr>
          <w:vertAlign w:val="superscript"/>
        </w:rPr>
        <w:footnoteReference w:id="237"/>
      </w:r>
    </w:p>
    <w:p w14:paraId="04B0371C" w14:textId="77777777" w:rsidR="004D2392" w:rsidRPr="00792B68" w:rsidRDefault="004D2392" w:rsidP="004D2392">
      <w:r w:rsidRPr="00A402E8">
        <w:lastRenderedPageBreak/>
        <w:t xml:space="preserve">CARD also </w:t>
      </w:r>
      <w:r>
        <w:t xml:space="preserve">attempts to minimize </w:t>
      </w:r>
      <w:r w:rsidRPr="00A402E8">
        <w:t xml:space="preserve">the impact of weather on the </w:t>
      </w:r>
      <w:r>
        <w:t xml:space="preserve">historic </w:t>
      </w:r>
      <w:r w:rsidRPr="00A402E8">
        <w:t xml:space="preserve">inventory levels </w:t>
      </w:r>
      <w:r>
        <w:t>on which CARD relies</w:t>
      </w:r>
      <w:r w:rsidRPr="00A402E8">
        <w:t xml:space="preserve">.  Dolet Hills experienced historic rainfall of more than 60 inches in 2016, with approximately 14 inches in March 2016 alone, which stopped lignite production for approximately three weeks and required a draw on the plant’s lignite inventory pile to meet obligations.  When adjusted for the three weeks of lost production in March 2016, the March 2016 plant inventory would increase to 44 full-load days.  </w:t>
      </w:r>
      <w:r>
        <w:t>CARD characterizes this calculation as “theoretical.”</w:t>
      </w:r>
      <w:r>
        <w:rPr>
          <w:rStyle w:val="FootnoteReference"/>
        </w:rPr>
        <w:footnoteReference w:id="238"/>
      </w:r>
      <w:r>
        <w:t xml:space="preserve">  What is not theoretical is the fact that the mine experienced a three-week production disruption in March 2016, which reduced lignite inventories during the historical period relied on in CARD’s calculation.  Also not theoretical is the fact that </w:t>
      </w:r>
      <w:r w:rsidRPr="00A402E8">
        <w:t xml:space="preserve">mine production during a six-week planned outage </w:t>
      </w:r>
      <w:r>
        <w:t xml:space="preserve">of the Dolet Hills plant </w:t>
      </w:r>
      <w:r w:rsidRPr="00A402E8">
        <w:t>in 2017 allowed the plant to achieve 46</w:t>
      </w:r>
      <w:r>
        <w:t>-</w:t>
      </w:r>
      <w:r w:rsidRPr="00A402E8">
        <w:t>days of lignite inventory as of April 30, 2017.</w:t>
      </w:r>
      <w:r w:rsidRPr="00A402E8">
        <w:rPr>
          <w:vertAlign w:val="superscript"/>
        </w:rPr>
        <w:footnoteReference w:id="239"/>
      </w:r>
      <w:r>
        <w:t xml:space="preserve">  The 46 days of inventory as of April 30, 2017 is a historical fact, not a “</w:t>
      </w:r>
      <w:r>
        <w:rPr>
          <w:i/>
        </w:rPr>
        <w:t>would have been</w:t>
      </w:r>
      <w:r>
        <w:t>,” as CARD’s exceptions state.</w:t>
      </w:r>
      <w:r>
        <w:rPr>
          <w:rStyle w:val="FootnoteReference"/>
        </w:rPr>
        <w:footnoteReference w:id="240"/>
      </w:r>
    </w:p>
    <w:p w14:paraId="773EF241" w14:textId="77777777" w:rsidR="004D2392" w:rsidRDefault="004D2392" w:rsidP="004D2392">
      <w:r w:rsidRPr="00A402E8">
        <w:t xml:space="preserve">CARD writes that a 40 day inventory </w:t>
      </w:r>
      <w:r>
        <w:t xml:space="preserve">“is more than sufficient to maintain reliability at the plant” and </w:t>
      </w:r>
      <w:r w:rsidRPr="00A402E8">
        <w:t>“will not affect reliability.”</w:t>
      </w:r>
      <w:r w:rsidRPr="00A402E8">
        <w:rPr>
          <w:vertAlign w:val="superscript"/>
        </w:rPr>
        <w:footnoteReference w:id="241"/>
      </w:r>
      <w:r w:rsidRPr="00A402E8">
        <w:t xml:space="preserve">  But CARD is not responsible for the reliable operation of the Dolet Hills mine and plant.  The risk of supply disruptions at the Dolet Hills Plant is an even more substantial consideration given the lack of viable alternative delivery methods in the event of an extended conveyor belt outage.</w:t>
      </w:r>
      <w:r w:rsidRPr="00A402E8">
        <w:rPr>
          <w:vertAlign w:val="superscript"/>
        </w:rPr>
        <w:footnoteReference w:id="242"/>
      </w:r>
      <w:r w:rsidRPr="00A402E8">
        <w:t xml:space="preserve">  The target level of inventory at the Dolet Hills plant was carefully developed by the plant operator based on the circumstances that exist at the mine and plant, as well as on historical experience.  The Commission should not substitute the judgment of CARD for that of the plant operator under these circumstances.</w:t>
      </w:r>
    </w:p>
    <w:p w14:paraId="44E09396" w14:textId="77777777" w:rsidR="007B62B2" w:rsidRDefault="007B62B2" w:rsidP="003A17DF">
      <w:pPr>
        <w:pStyle w:val="Heading1"/>
        <w:keepNext w:val="0"/>
        <w:numPr>
          <w:ilvl w:val="0"/>
          <w:numId w:val="42"/>
        </w:numPr>
      </w:pPr>
      <w:r>
        <w:t xml:space="preserve">  </w:t>
      </w:r>
      <w:bookmarkStart w:id="29" w:name="_Toc497123825"/>
      <w:r>
        <w:t>RATE OF RETURN</w:t>
      </w:r>
      <w:bookmarkEnd w:id="29"/>
      <w:r>
        <w:t xml:space="preserve"> </w:t>
      </w:r>
    </w:p>
    <w:p w14:paraId="768AB196" w14:textId="77777777" w:rsidR="007B62B2" w:rsidRDefault="007B62B2" w:rsidP="007B62B2">
      <w:pPr>
        <w:pStyle w:val="Heading2"/>
        <w:numPr>
          <w:ilvl w:val="0"/>
          <w:numId w:val="12"/>
        </w:numPr>
        <w:ind w:hanging="810"/>
      </w:pPr>
      <w:bookmarkStart w:id="30" w:name="_Toc497123826"/>
      <w:r>
        <w:t xml:space="preserve">Return on </w:t>
      </w:r>
      <w:r w:rsidRPr="00C42CA6">
        <w:t>Equity</w:t>
      </w:r>
      <w:bookmarkEnd w:id="30"/>
      <w:r>
        <w:t xml:space="preserve"> </w:t>
      </w:r>
    </w:p>
    <w:p w14:paraId="41CBCE5D" w14:textId="77777777" w:rsidR="007B62B2" w:rsidRDefault="007B62B2" w:rsidP="007B62B2">
      <w:r>
        <w:t xml:space="preserve">In their Exceptions to the PFD, OPUC, CARD, TIEC, and Staff all object to the ALJs’ 9.6 percent return on equity recommendation.  They all recommend that their respective ROE </w:t>
      </w:r>
      <w:r>
        <w:lastRenderedPageBreak/>
        <w:t>expert’s recommendation be adopted (ranging from 9.2 – 9.35 percent)</w:t>
      </w:r>
      <w:r>
        <w:rPr>
          <w:rStyle w:val="FootnoteReference"/>
        </w:rPr>
        <w:footnoteReference w:id="243"/>
      </w:r>
      <w:r>
        <w:t xml:space="preserve"> and offer a variety of reasons in support of their arguments, ranging from claims regarding SWEPCO’s investment risk</w:t>
      </w:r>
      <w:r>
        <w:rPr>
          <w:rStyle w:val="FootnoteReference"/>
        </w:rPr>
        <w:footnoteReference w:id="244"/>
      </w:r>
      <w:r>
        <w:t xml:space="preserve"> to arguments based on utility capital costs in general,</w:t>
      </w:r>
      <w:r>
        <w:rPr>
          <w:rStyle w:val="FootnoteReference"/>
        </w:rPr>
        <w:footnoteReference w:id="245"/>
      </w:r>
      <w:r>
        <w:t xml:space="preserve"> to claims that regulatory authorities in other proceedings found various flaws in Company witness Mr. Robert Hevert’s analysis and that his recommendation is an “outlier.”</w:t>
      </w:r>
      <w:r>
        <w:rPr>
          <w:rStyle w:val="FootnoteReference"/>
        </w:rPr>
        <w:footnoteReference w:id="246"/>
      </w:r>
      <w:r>
        <w:t xml:space="preserve">  In fact, all of these arguments are erroneous and should be rejected by the Commission.    </w:t>
      </w:r>
    </w:p>
    <w:p w14:paraId="42B89DD3" w14:textId="77777777" w:rsidR="007B62B2" w:rsidRDefault="007B62B2" w:rsidP="007B62B2">
      <w:r>
        <w:t>As SWEPCO pointed out both in briefing and in its Exceptions in this case, an ROE award at the extremely low level other parties are advocating is out of step with both the evidence in this proceeding and with other ROE awards for similarly situated utilities around the country.  The chart below illustrates the authorized ROEs around the country for vertically integrated utilities from January 2014 through April 2017.  It also reflects the recommendations of the various parties and the PFD.  The chart was included in the Company’s Exceptions but it is worth revisiting in these Replies since it so graphically illustrates just how unreasonable the opposing parties’ ROE recommendations are.</w:t>
      </w:r>
    </w:p>
    <w:p w14:paraId="3F8B91E7" w14:textId="77777777" w:rsidR="007B62B2" w:rsidRPr="0083372A" w:rsidRDefault="007B62B2" w:rsidP="00F81F09">
      <w:pPr>
        <w:keepNext/>
        <w:widowControl/>
        <w:spacing w:line="240" w:lineRule="auto"/>
        <w:ind w:firstLine="0"/>
        <w:jc w:val="center"/>
        <w:rPr>
          <w:b/>
          <w:szCs w:val="20"/>
        </w:rPr>
      </w:pPr>
      <w:r w:rsidRPr="0083372A">
        <w:rPr>
          <w:b/>
          <w:szCs w:val="20"/>
        </w:rPr>
        <w:lastRenderedPageBreak/>
        <w:t>Chart 1:</w:t>
      </w:r>
    </w:p>
    <w:p w14:paraId="6869141F" w14:textId="77777777" w:rsidR="007B62B2" w:rsidRDefault="007B62B2" w:rsidP="00F81F09">
      <w:pPr>
        <w:keepNext/>
        <w:widowControl/>
        <w:ind w:firstLine="0"/>
        <w:jc w:val="center"/>
      </w:pPr>
      <w:r w:rsidRPr="0083372A">
        <w:rPr>
          <w:b/>
        </w:rPr>
        <w:t>Authorized ROEs (2014 – 2017) and Witness Recommendations</w:t>
      </w:r>
      <w:r w:rsidRPr="0083372A">
        <w:rPr>
          <w:bCs/>
          <w:vertAlign w:val="superscript"/>
        </w:rPr>
        <w:footnoteReference w:id="247"/>
      </w:r>
    </w:p>
    <w:p w14:paraId="2235D4DC" w14:textId="77777777" w:rsidR="007B62B2" w:rsidRDefault="007B62B2" w:rsidP="00F81F09">
      <w:pPr>
        <w:keepNext/>
        <w:widowControl/>
        <w:ind w:firstLine="0"/>
      </w:pPr>
      <w:r>
        <w:rPr>
          <w:noProof/>
        </w:rPr>
        <w:drawing>
          <wp:inline distT="0" distB="0" distL="0" distR="0" wp14:anchorId="7A9BAE1C" wp14:editId="41735F4F">
            <wp:extent cx="5943600" cy="31884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188497"/>
                    </a:xfrm>
                    <a:prstGeom prst="rect">
                      <a:avLst/>
                    </a:prstGeom>
                    <a:noFill/>
                  </pic:spPr>
                </pic:pic>
              </a:graphicData>
            </a:graphic>
          </wp:inline>
        </w:drawing>
      </w:r>
    </w:p>
    <w:p w14:paraId="0633CF79" w14:textId="77777777" w:rsidR="007B62B2" w:rsidRDefault="007B62B2" w:rsidP="007B62B2">
      <w:r>
        <w:t>As the evidence in this proceeding indicates, t</w:t>
      </w:r>
      <w:r w:rsidRPr="00B81C1F">
        <w:t>he average authorized ROE for vertically integrated electric utilities (excluding limited issue riders) from January 2014 to April 2017 is 9.82 percent.</w:t>
      </w:r>
      <w:r>
        <w:rPr>
          <w:rStyle w:val="FootnoteReference"/>
        </w:rPr>
        <w:footnoteReference w:id="248"/>
      </w:r>
      <w:r w:rsidRPr="00B81C1F">
        <w:t xml:space="preserve">  </w:t>
      </w:r>
      <w:proofErr w:type="gramStart"/>
      <w:r w:rsidRPr="00B81C1F">
        <w:t xml:space="preserve">Although </w:t>
      </w:r>
      <w:r>
        <w:t>TIEC, for example, claims in its Exceptions that an ROE in the “low 9% range” would provide fair compensation,</w:t>
      </w:r>
      <w:r>
        <w:rPr>
          <w:rStyle w:val="FootnoteReference"/>
        </w:rPr>
        <w:footnoteReference w:id="249"/>
      </w:r>
      <w:r>
        <w:t xml:space="preserve"> that is not supported by the evidence.</w:t>
      </w:r>
      <w:proofErr w:type="gramEnd"/>
      <w:r>
        <w:t xml:space="preserve">  Not only is the 9.8 percent average over the last three years  well above the ROE range advocated by the other parties,</w:t>
      </w:r>
      <w:r w:rsidRPr="00B81C1F">
        <w:t xml:space="preserve"> </w:t>
      </w:r>
      <w:r>
        <w:t>t</w:t>
      </w:r>
      <w:r w:rsidRPr="00B81C1F">
        <w:t xml:space="preserve">he majority </w:t>
      </w:r>
      <w:r>
        <w:t xml:space="preserve">of the awards </w:t>
      </w:r>
      <w:r w:rsidRPr="00B81C1F">
        <w:t>have been in the upper 9.00 percent range to above 10</w:t>
      </w:r>
      <w:r>
        <w:t>.00 percent</w:t>
      </w:r>
      <w:r w:rsidRPr="00B81C1F">
        <w:t>.</w:t>
      </w:r>
      <w:r>
        <w:rPr>
          <w:rStyle w:val="FootnoteReference"/>
        </w:rPr>
        <w:footnoteReference w:id="250"/>
      </w:r>
      <w:r w:rsidRPr="00B81C1F">
        <w:t xml:space="preserve">  In fact, the lower end of Mr. Hevert’s recommended range (10.00 percent) is consistent with recently authorized ROEs.</w:t>
      </w:r>
    </w:p>
    <w:p w14:paraId="0CAAF661" w14:textId="77777777" w:rsidR="007B62B2" w:rsidRDefault="007B62B2" w:rsidP="007B62B2">
      <w:r>
        <w:t xml:space="preserve">Opposing parties’ low ROE recommendations are also out of step with the ROEs reflected in the orders issued by this Commission in the recent years.  </w:t>
      </w:r>
      <w:r w:rsidRPr="00F81F09">
        <w:t xml:space="preserve">A recently-issued </w:t>
      </w:r>
      <w:r w:rsidRPr="00F81F09">
        <w:lastRenderedPageBreak/>
        <w:t xml:space="preserve">Commission Staff Memorandum summarizing Staff’s review of the year-end 2016 </w:t>
      </w:r>
      <w:r w:rsidR="00A66559" w:rsidRPr="00F81F09">
        <w:t>Commission</w:t>
      </w:r>
      <w:r w:rsidRPr="00F81F09">
        <w:t xml:space="preserve"> Earnings Reports prepared in connection with Project No. 46910</w:t>
      </w:r>
      <w:r>
        <w:t xml:space="preserve"> indicates that in the last four years “Commission Orders in IOU dockets have included ROEs” that range from 9.8 percent to 9.6 percent.</w:t>
      </w:r>
      <w:r>
        <w:rPr>
          <w:rStyle w:val="FootnoteReference"/>
        </w:rPr>
        <w:footnoteReference w:id="251"/>
      </w:r>
      <w:r>
        <w:t xml:space="preserve">  It is notable that the PFD’s recommended 9.6 percent ROE matches the lowest authorized ROE in this range, which includes authorized returns for several wires-only utilities, given that both the Commission and its Staff have argued in the past that investments in vertically-integrated utilities generally have more risk than transmission and distribution-only utilities and, therefore, should have higher ROEs.</w:t>
      </w:r>
      <w:r>
        <w:rPr>
          <w:rStyle w:val="FootnoteReference"/>
        </w:rPr>
        <w:footnoteReference w:id="252"/>
      </w:r>
      <w:r>
        <w:t xml:space="preserve">  </w:t>
      </w:r>
      <w:r w:rsidR="00F81F09">
        <w:t>For example, this Commission recently issued</w:t>
      </w:r>
      <w:r w:rsidR="005D6E0F">
        <w:t xml:space="preserve"> an order approving an ROE of 9.8 percent for Oncor Electric Delivery Company LLC (a transmission and distribution utility).</w:t>
      </w:r>
      <w:r w:rsidR="005D6E0F">
        <w:rPr>
          <w:rStyle w:val="FootnoteReference"/>
        </w:rPr>
        <w:footnoteReference w:id="253"/>
      </w:r>
    </w:p>
    <w:p w14:paraId="15BA9B2B" w14:textId="77777777" w:rsidR="007B62B2" w:rsidRPr="001F1E81" w:rsidRDefault="007B62B2" w:rsidP="007B62B2">
      <w:r>
        <w:t xml:space="preserve">A </w:t>
      </w:r>
      <w:r w:rsidRPr="001F1E81">
        <w:t xml:space="preserve">large part of the reason the </w:t>
      </w:r>
      <w:r>
        <w:t>o</w:t>
      </w:r>
      <w:r w:rsidRPr="001F1E81">
        <w:t xml:space="preserve">pposing </w:t>
      </w:r>
      <w:r>
        <w:t xml:space="preserve">parties’ </w:t>
      </w:r>
      <w:r w:rsidRPr="001F1E81">
        <w:t>ROE recommendations are uniformly low is that the</w:t>
      </w:r>
      <w:r>
        <w:t>ir ROE witnesses</w:t>
      </w:r>
      <w:r w:rsidRPr="001F1E81">
        <w:t xml:space="preserve"> have given considerable weight to the Discounted Cash Flow (DCF) method, even though their models produce ROE estimates that are 100 basis points and more below the returns authorized for other electric utilities.</w:t>
      </w:r>
      <w:r w:rsidRPr="001F1E81">
        <w:rPr>
          <w:vertAlign w:val="superscript"/>
        </w:rPr>
        <w:footnoteReference w:id="254"/>
      </w:r>
      <w:r w:rsidRPr="001F1E81">
        <w:rPr>
          <w:vertAlign w:val="superscript"/>
        </w:rPr>
        <w:t xml:space="preserve"> </w:t>
      </w:r>
      <w:r w:rsidRPr="001F1E81">
        <w:t xml:space="preserve"> For example, OPUC witness Ms.</w:t>
      </w:r>
      <w:r w:rsidR="005D6E0F">
        <w:t> </w:t>
      </w:r>
      <w:r w:rsidRPr="001F1E81">
        <w:t>Cynthia Zamora’s 9.20 percent ROE recommendation is based on her Constant Growth DCF and Risk Premium results.</w:t>
      </w:r>
      <w:r w:rsidRPr="001F1E81">
        <w:rPr>
          <w:vertAlign w:val="superscript"/>
        </w:rPr>
        <w:footnoteReference w:id="255"/>
      </w:r>
      <w:r w:rsidRPr="001F1E81">
        <w:t xml:space="preserve">  Commission Staff witness Mr. Cutter considers Constant Growth DCF model results ranging from 6.19 percent to 10.39 percent.</w:t>
      </w:r>
      <w:r w:rsidRPr="001F1E81">
        <w:rPr>
          <w:vertAlign w:val="superscript"/>
        </w:rPr>
        <w:footnoteReference w:id="256"/>
      </w:r>
      <w:r w:rsidRPr="001F1E81">
        <w:t xml:space="preserve">  Likewise, TIEC’s witness Mr. Gorman and CARD witness Mr. Parcell each give considerable weight to their Constant Growth </w:t>
      </w:r>
      <w:r w:rsidRPr="001F1E81">
        <w:lastRenderedPageBreak/>
        <w:t>DCF model results.</w:t>
      </w:r>
      <w:r w:rsidRPr="001F1E81">
        <w:rPr>
          <w:vertAlign w:val="superscript"/>
        </w:rPr>
        <w:footnoteReference w:id="257"/>
      </w:r>
      <w:r w:rsidRPr="001F1E81">
        <w:t xml:space="preserve">  SWEPCO’s </w:t>
      </w:r>
      <w:r>
        <w:t xml:space="preserve">Exceptions summarized the detailed hearing testimony </w:t>
      </w:r>
      <w:r w:rsidRPr="001F1E81">
        <w:t>explain</w:t>
      </w:r>
      <w:r>
        <w:t>ing</w:t>
      </w:r>
      <w:r w:rsidRPr="001F1E81">
        <w:t xml:space="preserve"> why DCF model results were unreliable given the current market conditions and why the Commission should not put much stock in those results.</w:t>
      </w:r>
      <w:r w:rsidRPr="001F1E81">
        <w:rPr>
          <w:vertAlign w:val="superscript"/>
        </w:rPr>
        <w:footnoteReference w:id="258"/>
      </w:r>
      <w:r w:rsidRPr="001F1E81">
        <w:t xml:space="preserve">  </w:t>
      </w:r>
    </w:p>
    <w:p w14:paraId="32DF6F61" w14:textId="77777777" w:rsidR="007B62B2" w:rsidRDefault="007B62B2" w:rsidP="007B62B2">
      <w:r w:rsidRPr="001F1E81">
        <w:t xml:space="preserve">So it is not at all surprising, given their common dependence on a method that produces unduly low estimates that the </w:t>
      </w:r>
      <w:r>
        <w:t>o</w:t>
      </w:r>
      <w:r w:rsidRPr="001F1E81">
        <w:t xml:space="preserve">pposing ROE </w:t>
      </w:r>
      <w:r>
        <w:t>w</w:t>
      </w:r>
      <w:r w:rsidRPr="001F1E81">
        <w:t>itnesses’ recommendations fall within a narrow range.  Nor is it surprising that their recommendations fall far below the range of returns authorized for electric utilities in other jurisdictions.  Other regulatory authorities have been reluctant to give undue weight to models and methods that produce unreasonably low results.  F</w:t>
      </w:r>
      <w:r>
        <w:t xml:space="preserve">or example, the highest of the opposing parties’ ROE </w:t>
      </w:r>
      <w:r w:rsidRPr="001F1E81">
        <w:t>recommendations (</w:t>
      </w:r>
      <w:r>
        <w:t>TIEC</w:t>
      </w:r>
      <w:r w:rsidRPr="001F1E81">
        <w:t>’s 9.35 percent ROE) is 46 basis points below the average return, and falls in the bottom first percentile of ROEs authorized for vertically integrated electric utilities from January 2014 through April 2017</w:t>
      </w:r>
      <w:r>
        <w:t>.</w:t>
      </w:r>
      <w:r w:rsidRPr="001F1E81">
        <w:rPr>
          <w:vertAlign w:val="superscript"/>
        </w:rPr>
        <w:footnoteReference w:id="259"/>
      </w:r>
    </w:p>
    <w:p w14:paraId="40C09CE7" w14:textId="77777777" w:rsidR="007B62B2" w:rsidRPr="0076177A" w:rsidRDefault="007B62B2" w:rsidP="007B62B2">
      <w:r>
        <w:t>TIEC and OPUC both argue in Exceptions that favorable market conditions are responsible for historically low utility capital costs and that there has been a decline in authorized ROEs.</w:t>
      </w:r>
      <w:r>
        <w:rPr>
          <w:rStyle w:val="FootnoteReference"/>
        </w:rPr>
        <w:footnoteReference w:id="260"/>
      </w:r>
      <w:r>
        <w:t xml:space="preserve"> </w:t>
      </w:r>
      <w:r w:rsidR="00A66559">
        <w:t xml:space="preserve"> </w:t>
      </w:r>
      <w:r>
        <w:t>However, as Mr. Hevert explained in testimony</w:t>
      </w:r>
      <w:r w:rsidRPr="001F1E81">
        <w:t xml:space="preserve">, their use of average annual data obscures the variation in returns, and suggests a downward trend where none exists.  </w:t>
      </w:r>
      <w:r>
        <w:t>This is because a</w:t>
      </w:r>
      <w:r w:rsidRPr="00CC36BE">
        <w:t xml:space="preserve"> </w:t>
      </w:r>
      <w:r>
        <w:t xml:space="preserve">comparison of </w:t>
      </w:r>
      <w:r w:rsidRPr="00CC36BE">
        <w:t xml:space="preserve">simple </w:t>
      </w:r>
      <w:r>
        <w:t xml:space="preserve">annual </w:t>
      </w:r>
      <w:r w:rsidRPr="00CC36BE">
        <w:t>average</w:t>
      </w:r>
      <w:r>
        <w:t>s</w:t>
      </w:r>
      <w:r w:rsidRPr="00CC36BE">
        <w:t xml:space="preserve"> does not address the number of cases, or the number of jurisdictions issuing orders within a given year.  For example, one year may have fewer cases decided, but a relatively large number of those cases decided by a single jurisdiction, potentially biasing the result.</w:t>
      </w:r>
      <w:r>
        <w:t xml:space="preserve">  Additionally, the opposing ROE w</w:t>
      </w:r>
      <w:r w:rsidRPr="00CC36BE">
        <w:t>itnesses have cited to averages that remove higher authorized returns for Virginia Rate Riders, but include lower authorized returns from Illinois Formula Rate plans, thereby biasing their conclusion downward.</w:t>
      </w:r>
      <w:r>
        <w:rPr>
          <w:rStyle w:val="FootnoteReference"/>
        </w:rPr>
        <w:footnoteReference w:id="261"/>
      </w:r>
      <w:r w:rsidRPr="00CC36BE">
        <w:t xml:space="preserve">  </w:t>
      </w:r>
      <w:r>
        <w:t xml:space="preserve">As </w:t>
      </w:r>
      <w:r>
        <w:lastRenderedPageBreak/>
        <w:t>Mr. Hevert explained, i</w:t>
      </w:r>
      <w:r w:rsidRPr="00CC36BE">
        <w:t>f all</w:t>
      </w:r>
      <w:r>
        <w:t xml:space="preserve"> recently</w:t>
      </w:r>
      <w:r w:rsidRPr="00CC36BE">
        <w:t xml:space="preserve"> authorized ROEs are </w:t>
      </w:r>
      <w:r>
        <w:t>consider</w:t>
      </w:r>
      <w:r w:rsidRPr="00CC36BE">
        <w:t xml:space="preserve">ed, rather than simple </w:t>
      </w:r>
      <w:r>
        <w:t>annual averages, there is no di</w:t>
      </w:r>
      <w:r w:rsidRPr="00CC36BE">
        <w:t>scernible trend.</w:t>
      </w:r>
      <w:r w:rsidRPr="00CC36BE">
        <w:rPr>
          <w:rStyle w:val="FootnoteReference"/>
        </w:rPr>
        <w:footnoteReference w:id="262"/>
      </w:r>
    </w:p>
    <w:p w14:paraId="38501A64" w14:textId="77777777" w:rsidR="007B62B2" w:rsidRDefault="007B62B2" w:rsidP="007B62B2">
      <w:r w:rsidRPr="00CC36BE">
        <w:t>For example, the adjusted average authorized return in 2014 was 9.78 percent, with a standard deviation of about 0.30 percent (30 basis points).</w:t>
      </w:r>
      <w:r>
        <w:rPr>
          <w:rStyle w:val="FootnoteReference"/>
        </w:rPr>
        <w:footnoteReference w:id="263"/>
      </w:r>
      <w:r w:rsidRPr="00CC36BE">
        <w:t xml:space="preserve">  In 2016 the average and standard deviation were 9.66 percent and 0.35 percent, respectively (</w:t>
      </w:r>
      <w:r>
        <w:t>as shown</w:t>
      </w:r>
      <w:r w:rsidRPr="00CC36BE">
        <w:t xml:space="preserve"> below).  </w:t>
      </w:r>
      <w:r>
        <w:t xml:space="preserve">In other words, there is no </w:t>
      </w:r>
      <w:r w:rsidRPr="00CC36BE">
        <w:t>statistical difference in the two averages.</w:t>
      </w:r>
      <w:r w:rsidRPr="00CC36BE">
        <w:rPr>
          <w:rStyle w:val="FootnoteReference"/>
        </w:rPr>
        <w:footnoteReference w:id="264"/>
      </w:r>
    </w:p>
    <w:p w14:paraId="74114B50" w14:textId="77777777" w:rsidR="007B62B2" w:rsidRPr="00CC36BE" w:rsidRDefault="007B62B2" w:rsidP="00A66559">
      <w:pPr>
        <w:keepNext/>
        <w:ind w:firstLine="0"/>
        <w:jc w:val="center"/>
        <w:rPr>
          <w:b/>
        </w:rPr>
      </w:pPr>
      <w:r w:rsidRPr="00CC36BE">
        <w:rPr>
          <w:b/>
        </w:rPr>
        <w:t>Average and Standard Deviation of Authorized Returns</w:t>
      </w:r>
      <w:r w:rsidRPr="00CC36BE">
        <w:rPr>
          <w:b/>
          <w:vertAlign w:val="superscript"/>
        </w:rPr>
        <w:footnoteReference w:id="265"/>
      </w:r>
    </w:p>
    <w:tbl>
      <w:tblPr>
        <w:tblW w:w="4688" w:type="dxa"/>
        <w:jc w:val="center"/>
        <w:tblInd w:w="-187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54"/>
        <w:gridCol w:w="1606"/>
        <w:gridCol w:w="1728"/>
      </w:tblGrid>
      <w:tr w:rsidR="007B62B2" w:rsidRPr="00CC36BE" w14:paraId="0FBCDC4E" w14:textId="77777777" w:rsidTr="00A66559">
        <w:trPr>
          <w:trHeight w:val="255"/>
          <w:jc w:val="center"/>
        </w:trPr>
        <w:tc>
          <w:tcPr>
            <w:tcW w:w="1354" w:type="dxa"/>
            <w:noWrap/>
            <w:vAlign w:val="bottom"/>
          </w:tcPr>
          <w:p w14:paraId="568325DC" w14:textId="77777777" w:rsidR="007B62B2" w:rsidRPr="00CC36BE" w:rsidRDefault="007B62B2" w:rsidP="001175ED">
            <w:pPr>
              <w:spacing w:line="240" w:lineRule="auto"/>
              <w:ind w:hanging="104"/>
              <w:jc w:val="center"/>
              <w:rPr>
                <w:b/>
              </w:rPr>
            </w:pPr>
            <w:r w:rsidRPr="00CC36BE">
              <w:rPr>
                <w:b/>
              </w:rPr>
              <w:t>Year</w:t>
            </w:r>
          </w:p>
        </w:tc>
        <w:tc>
          <w:tcPr>
            <w:tcW w:w="1606" w:type="dxa"/>
            <w:noWrap/>
            <w:vAlign w:val="bottom"/>
          </w:tcPr>
          <w:p w14:paraId="0050550C" w14:textId="77777777" w:rsidR="007B62B2" w:rsidRPr="00CC36BE" w:rsidRDefault="007B62B2" w:rsidP="001175ED">
            <w:pPr>
              <w:spacing w:line="240" w:lineRule="auto"/>
              <w:ind w:firstLine="0"/>
              <w:jc w:val="center"/>
              <w:rPr>
                <w:b/>
              </w:rPr>
            </w:pPr>
            <w:r w:rsidRPr="00CC36BE">
              <w:rPr>
                <w:b/>
              </w:rPr>
              <w:t>Average ROE</w:t>
            </w:r>
          </w:p>
        </w:tc>
        <w:tc>
          <w:tcPr>
            <w:tcW w:w="1728" w:type="dxa"/>
            <w:vAlign w:val="bottom"/>
          </w:tcPr>
          <w:p w14:paraId="24DB64F5" w14:textId="77777777" w:rsidR="007B62B2" w:rsidRPr="00CC36BE" w:rsidRDefault="007B62B2" w:rsidP="001175ED">
            <w:pPr>
              <w:spacing w:line="240" w:lineRule="auto"/>
              <w:ind w:firstLine="0"/>
              <w:jc w:val="center"/>
              <w:rPr>
                <w:b/>
              </w:rPr>
            </w:pPr>
            <w:r w:rsidRPr="00CC36BE">
              <w:rPr>
                <w:b/>
              </w:rPr>
              <w:t>Standard Deviation (ROE)</w:t>
            </w:r>
          </w:p>
        </w:tc>
      </w:tr>
      <w:tr w:rsidR="007B62B2" w:rsidRPr="00CC36BE" w14:paraId="463A49E9" w14:textId="77777777" w:rsidTr="00A66559">
        <w:trPr>
          <w:trHeight w:val="255"/>
          <w:jc w:val="center"/>
        </w:trPr>
        <w:tc>
          <w:tcPr>
            <w:tcW w:w="1354" w:type="dxa"/>
            <w:noWrap/>
            <w:hideMark/>
          </w:tcPr>
          <w:p w14:paraId="5B5C6145" w14:textId="77777777" w:rsidR="007B62B2" w:rsidRPr="00CC36BE" w:rsidRDefault="007B62B2" w:rsidP="001175ED">
            <w:pPr>
              <w:spacing w:line="240" w:lineRule="auto"/>
              <w:ind w:hanging="104"/>
              <w:jc w:val="center"/>
            </w:pPr>
            <w:r w:rsidRPr="00CC36BE">
              <w:t>2014</w:t>
            </w:r>
          </w:p>
        </w:tc>
        <w:tc>
          <w:tcPr>
            <w:tcW w:w="1606" w:type="dxa"/>
            <w:noWrap/>
            <w:hideMark/>
          </w:tcPr>
          <w:p w14:paraId="020C721B" w14:textId="77777777" w:rsidR="007B62B2" w:rsidRPr="00CC36BE" w:rsidRDefault="007B62B2" w:rsidP="001175ED">
            <w:pPr>
              <w:spacing w:line="240" w:lineRule="auto"/>
              <w:ind w:firstLine="0"/>
              <w:jc w:val="center"/>
            </w:pPr>
            <w:r w:rsidRPr="00CC36BE">
              <w:t>9.78</w:t>
            </w:r>
          </w:p>
        </w:tc>
        <w:tc>
          <w:tcPr>
            <w:tcW w:w="1728" w:type="dxa"/>
            <w:hideMark/>
          </w:tcPr>
          <w:p w14:paraId="328227B6" w14:textId="77777777" w:rsidR="007B62B2" w:rsidRPr="00CC36BE" w:rsidRDefault="007B62B2" w:rsidP="001175ED">
            <w:pPr>
              <w:spacing w:line="240" w:lineRule="auto"/>
              <w:ind w:firstLine="0"/>
              <w:jc w:val="center"/>
            </w:pPr>
            <w:r w:rsidRPr="00CC36BE">
              <w:t>0.3007</w:t>
            </w:r>
          </w:p>
        </w:tc>
      </w:tr>
      <w:tr w:rsidR="007B62B2" w:rsidRPr="00CC36BE" w14:paraId="52EC7ACD" w14:textId="77777777" w:rsidTr="00A66559">
        <w:trPr>
          <w:trHeight w:val="255"/>
          <w:jc w:val="center"/>
        </w:trPr>
        <w:tc>
          <w:tcPr>
            <w:tcW w:w="1354" w:type="dxa"/>
            <w:noWrap/>
            <w:hideMark/>
          </w:tcPr>
          <w:p w14:paraId="4532437D" w14:textId="77777777" w:rsidR="007B62B2" w:rsidRPr="00CC36BE" w:rsidRDefault="007B62B2" w:rsidP="001175ED">
            <w:pPr>
              <w:spacing w:line="240" w:lineRule="auto"/>
              <w:ind w:hanging="104"/>
              <w:jc w:val="center"/>
            </w:pPr>
            <w:r w:rsidRPr="00CC36BE">
              <w:t>2015</w:t>
            </w:r>
          </w:p>
        </w:tc>
        <w:tc>
          <w:tcPr>
            <w:tcW w:w="1606" w:type="dxa"/>
            <w:noWrap/>
            <w:hideMark/>
          </w:tcPr>
          <w:p w14:paraId="3453F611" w14:textId="77777777" w:rsidR="007B62B2" w:rsidRPr="00CC36BE" w:rsidRDefault="007B62B2" w:rsidP="001175ED">
            <w:pPr>
              <w:spacing w:line="240" w:lineRule="auto"/>
              <w:ind w:firstLine="0"/>
              <w:jc w:val="center"/>
            </w:pPr>
            <w:r w:rsidRPr="00CC36BE">
              <w:t>9.64</w:t>
            </w:r>
          </w:p>
        </w:tc>
        <w:tc>
          <w:tcPr>
            <w:tcW w:w="1728" w:type="dxa"/>
            <w:hideMark/>
          </w:tcPr>
          <w:p w14:paraId="1413B3FC" w14:textId="77777777" w:rsidR="007B62B2" w:rsidRPr="00CC36BE" w:rsidRDefault="007B62B2" w:rsidP="001175ED">
            <w:pPr>
              <w:spacing w:line="240" w:lineRule="auto"/>
              <w:ind w:firstLine="0"/>
              <w:jc w:val="center"/>
            </w:pPr>
            <w:r w:rsidRPr="00CC36BE">
              <w:t>0.3762</w:t>
            </w:r>
          </w:p>
        </w:tc>
      </w:tr>
      <w:tr w:rsidR="007B62B2" w:rsidRPr="00CC36BE" w14:paraId="30D76EBB" w14:textId="77777777" w:rsidTr="00A66559">
        <w:trPr>
          <w:trHeight w:val="255"/>
          <w:jc w:val="center"/>
        </w:trPr>
        <w:tc>
          <w:tcPr>
            <w:tcW w:w="1354" w:type="dxa"/>
            <w:noWrap/>
            <w:hideMark/>
          </w:tcPr>
          <w:p w14:paraId="552FE369" w14:textId="77777777" w:rsidR="007B62B2" w:rsidRPr="00CC36BE" w:rsidRDefault="007B62B2" w:rsidP="001175ED">
            <w:pPr>
              <w:spacing w:line="240" w:lineRule="auto"/>
              <w:ind w:hanging="104"/>
              <w:jc w:val="center"/>
            </w:pPr>
            <w:r w:rsidRPr="00CC36BE">
              <w:t>2016</w:t>
            </w:r>
          </w:p>
        </w:tc>
        <w:tc>
          <w:tcPr>
            <w:tcW w:w="1606" w:type="dxa"/>
            <w:noWrap/>
            <w:hideMark/>
          </w:tcPr>
          <w:p w14:paraId="2934244A" w14:textId="77777777" w:rsidR="007B62B2" w:rsidRPr="00CC36BE" w:rsidRDefault="007B62B2" w:rsidP="001175ED">
            <w:pPr>
              <w:spacing w:line="240" w:lineRule="auto"/>
              <w:ind w:firstLine="0"/>
              <w:jc w:val="center"/>
            </w:pPr>
            <w:r w:rsidRPr="00CC36BE">
              <w:t>9.66</w:t>
            </w:r>
          </w:p>
        </w:tc>
        <w:tc>
          <w:tcPr>
            <w:tcW w:w="1728" w:type="dxa"/>
            <w:hideMark/>
          </w:tcPr>
          <w:p w14:paraId="5060E8FF" w14:textId="77777777" w:rsidR="007B62B2" w:rsidRPr="00CC36BE" w:rsidRDefault="007B62B2" w:rsidP="001175ED">
            <w:pPr>
              <w:spacing w:line="240" w:lineRule="auto"/>
              <w:ind w:firstLine="0"/>
              <w:jc w:val="center"/>
            </w:pPr>
            <w:r w:rsidRPr="00CC36BE">
              <w:t>0.3512</w:t>
            </w:r>
          </w:p>
        </w:tc>
      </w:tr>
    </w:tbl>
    <w:p w14:paraId="53BFCB95" w14:textId="77777777" w:rsidR="007B62B2" w:rsidRDefault="007B62B2" w:rsidP="007B62B2"/>
    <w:p w14:paraId="7FF1F030" w14:textId="77777777" w:rsidR="007B62B2" w:rsidRPr="001F1E81" w:rsidRDefault="007B62B2" w:rsidP="007B62B2">
      <w:r w:rsidRPr="005F54D5">
        <w:t xml:space="preserve">Parties also raise somewhat contradictory arguments regarding the Company’s credit characteristics.  On one hand, </w:t>
      </w:r>
      <w:r>
        <w:t>TIEC tout</w:t>
      </w:r>
      <w:r w:rsidR="005D6E0F">
        <w:t>s</w:t>
      </w:r>
      <w:r w:rsidRPr="005F54D5">
        <w:t xml:space="preserve"> the effect recent credit upgrades have ha</w:t>
      </w:r>
      <w:r>
        <w:t>d on SWEPCO’s access to capital</w:t>
      </w:r>
      <w:r w:rsidRPr="005F54D5">
        <w:rPr>
          <w:vertAlign w:val="superscript"/>
        </w:rPr>
        <w:footnoteReference w:id="266"/>
      </w:r>
      <w:r>
        <w:t xml:space="preserve"> as well as “industry-wide” “credit-supportive regulatory recovery mechanisms.”</w:t>
      </w:r>
      <w:r>
        <w:rPr>
          <w:rStyle w:val="FootnoteReference"/>
        </w:rPr>
        <w:footnoteReference w:id="267"/>
      </w:r>
      <w:r w:rsidRPr="005F54D5">
        <w:t xml:space="preserve">  On the other</w:t>
      </w:r>
      <w:r>
        <w:t xml:space="preserve"> hand</w:t>
      </w:r>
      <w:r w:rsidRPr="005F54D5">
        <w:t>, TIEC claims that customers should be protected from the credit risks associated with SWEPCO’s Turk Plant not being included in rates in Arkansas.</w:t>
      </w:r>
      <w:r w:rsidRPr="005F54D5">
        <w:rPr>
          <w:vertAlign w:val="superscript"/>
        </w:rPr>
        <w:footnoteReference w:id="268"/>
      </w:r>
      <w:r>
        <w:t xml:space="preserve">  All of these</w:t>
      </w:r>
      <w:r w:rsidRPr="005F54D5">
        <w:t xml:space="preserve"> arguments miss the mark.  Neither the Turk Plant’s status in Arkansas, nor any other “credit risk” had any direct impact on </w:t>
      </w:r>
      <w:r>
        <w:t>the various ROE analyses in this proceeding</w:t>
      </w:r>
      <w:r w:rsidRPr="005F54D5">
        <w:t xml:space="preserve">.  </w:t>
      </w:r>
      <w:r>
        <w:t>In addition, n</w:t>
      </w:r>
      <w:r w:rsidRPr="005F54D5">
        <w:t xml:space="preserve">ot only was Mr. Hevert </w:t>
      </w:r>
      <w:r>
        <w:t xml:space="preserve">(and other ROE witnesses in this case) </w:t>
      </w:r>
      <w:r w:rsidRPr="005F54D5">
        <w:t xml:space="preserve">measuring the </w:t>
      </w:r>
      <w:r>
        <w:t>cost of equity and not debt, the ROE analysis is</w:t>
      </w:r>
      <w:r w:rsidRPr="005F54D5">
        <w:t>, necessarily, a</w:t>
      </w:r>
      <w:r>
        <w:t xml:space="preserve"> comparative one.  It considers</w:t>
      </w:r>
      <w:r w:rsidRPr="005F54D5">
        <w:t xml:space="preserve"> the observable characteristics of proxy companies to measure SWEPCO’s required return on equity and the </w:t>
      </w:r>
      <w:r w:rsidRPr="005F54D5">
        <w:lastRenderedPageBreak/>
        <w:t xml:space="preserve">Turk Plant’s status affected none of these other companies.  </w:t>
      </w:r>
      <w:r>
        <w:t xml:space="preserve">On the other hand, the various “industry-wide” regulatory mechanisms cited do indeed affect comparable companies and so whatever effects they do have are already considered in the various models’ comparisons to other companies.  </w:t>
      </w:r>
      <w:r w:rsidRPr="005F54D5">
        <w:t>Further, as Mr. Hevert explained, a wide variety of factors impact credit agencies’ assessment of credit risk.  But one of the most important factors agencies considered is a company’s regulatory environment.</w:t>
      </w:r>
      <w:r w:rsidRPr="005F54D5">
        <w:rPr>
          <w:vertAlign w:val="superscript"/>
        </w:rPr>
        <w:footnoteReference w:id="269"/>
      </w:r>
      <w:r w:rsidRPr="005F54D5">
        <w:t xml:space="preserve">  And a critical factor in assessing a company’s regulatory environment is its allowed rate of return.</w:t>
      </w:r>
    </w:p>
    <w:p w14:paraId="7F985233" w14:textId="77777777" w:rsidR="007B62B2" w:rsidRDefault="007B62B2" w:rsidP="007B62B2">
      <w:r w:rsidRPr="001F1E81">
        <w:t xml:space="preserve">Opposing parties also attempt to criticize Mr. Hevert’s ROE recommendation in this case by </w:t>
      </w:r>
      <w:r>
        <w:t xml:space="preserve">characterizing it as an “outlier” and </w:t>
      </w:r>
      <w:r w:rsidRPr="001F1E81">
        <w:t xml:space="preserve">referencing </w:t>
      </w:r>
      <w:r>
        <w:t xml:space="preserve">decisions in prior </w:t>
      </w:r>
      <w:r w:rsidRPr="001F1E81">
        <w:t>cases</w:t>
      </w:r>
      <w:r w:rsidR="0028564D">
        <w:t xml:space="preserve"> that have portrayed </w:t>
      </w:r>
      <w:r>
        <w:t xml:space="preserve">various portions of </w:t>
      </w:r>
      <w:r w:rsidR="0028564D">
        <w:t xml:space="preserve">Mr. </w:t>
      </w:r>
      <w:r>
        <w:t>Hevert’s analyses in an unfavorable light</w:t>
      </w:r>
      <w:r w:rsidRPr="001F1E81">
        <w:t>.</w:t>
      </w:r>
      <w:r>
        <w:rPr>
          <w:rStyle w:val="FootnoteReference"/>
        </w:rPr>
        <w:footnoteReference w:id="270"/>
      </w:r>
      <w:r>
        <w:t xml:space="preserve"> </w:t>
      </w:r>
      <w:r w:rsidRPr="001F1E81">
        <w:t xml:space="preserve">  However, </w:t>
      </w:r>
      <w:r>
        <w:t xml:space="preserve">as indicated </w:t>
      </w:r>
      <w:r w:rsidRPr="00A758F8">
        <w:t>above in connection with the discussion of Chart 1, the lower end of Mr. Hevert’s range is</w:t>
      </w:r>
      <w:r>
        <w:t xml:space="preserve"> consistent with recently authorized ROEs.  In addition, </w:t>
      </w:r>
      <w:r w:rsidRPr="001F1E81">
        <w:t xml:space="preserve">there are other regulatory authorities that have been complimentary of Mr. Hevert’s past analyses, including, recently, this very Commission.  For example, </w:t>
      </w:r>
      <w:r>
        <w:t>when Mr. Hevert was cross examined at hearing about a Missouri Public Service Commission opinion that was critical of one of his methodologies, on redirect he explained that another recent Missouri Commission decision found that each of his methodologies (</w:t>
      </w:r>
      <w:r w:rsidRPr="00697497">
        <w:rPr>
          <w:i/>
        </w:rPr>
        <w:t>i.e</w:t>
      </w:r>
      <w:r>
        <w:t>., DCF, CAPM, and Risk Premium) was reasonable and adopted an ROE that equaled the bottom of his recommended range.</w:t>
      </w:r>
      <w:r>
        <w:rPr>
          <w:rStyle w:val="FootnoteReference"/>
        </w:rPr>
        <w:footnoteReference w:id="271"/>
      </w:r>
      <w:r>
        <w:t>  In addition, in recommending a 9.7 percent return on equity in a recent SPS rate case (that was adopted by this Commission) the ALJs observed:</w:t>
      </w:r>
      <w:r w:rsidRPr="001F1E81">
        <w:t xml:space="preserve">  </w:t>
      </w:r>
    </w:p>
    <w:p w14:paraId="11967CF8" w14:textId="77777777" w:rsidR="007B62B2" w:rsidRDefault="007B62B2" w:rsidP="00A66559">
      <w:pPr>
        <w:spacing w:line="240" w:lineRule="auto"/>
        <w:ind w:left="720" w:right="720" w:firstLine="0"/>
      </w:pPr>
      <w:r>
        <w:t xml:space="preserve">Mr. Hevert offered reasonable arguments as to why other analysts’ model choices, modeling decisions, and outcomes were unpersuasive.  In turn, Messrs. Parcell and Gorman and Dr. Szerszen offered reasonable arguments why Mr. Hevert’s choices, decisions, and outcomes were weighted in favor of SPS.  But the ALJs are not persuaded that Mr. Hevert’s recommended 10.25% return on equity </w:t>
      </w:r>
      <w:r>
        <w:lastRenderedPageBreak/>
        <w:t>should be disregarded simply because the Commission (and other regulatory agencies) have not adopted Mr. Hevert’s previous recommendations or because it is 85 basis points above the second highest recommendation (that of Mr. Parcell).   The ALJs observe that Mr. Hevert’s rebuttal analysis was more persuasive than the analysis of the other return on equity witnesses.</w:t>
      </w:r>
      <w:r>
        <w:rPr>
          <w:rStyle w:val="FootnoteReference"/>
        </w:rPr>
        <w:footnoteReference w:id="272"/>
      </w:r>
    </w:p>
    <w:p w14:paraId="5544F51C" w14:textId="77777777" w:rsidR="007B62B2" w:rsidRDefault="007B62B2" w:rsidP="007B62B2">
      <w:pPr>
        <w:spacing w:line="240" w:lineRule="auto"/>
        <w:ind w:left="720" w:right="720"/>
      </w:pPr>
    </w:p>
    <w:p w14:paraId="517C03CB" w14:textId="77777777" w:rsidR="007B62B2" w:rsidRDefault="007B62B2" w:rsidP="007B62B2">
      <w:r>
        <w:t>In summary, opposing witnesses’ ROE recommendations in the low 9 percent range are all extremely and unreasonably low when compared with both (i) returns for vertically integrated utilities around the country in the last three years and (ii) authorized returns for Texas utilities in the last several years.  These recommendations are the product of a reliance on discounted cash flow methodology that, given current market conditions, produce unreliable results.  On the other hand, the Company’s 10 percent ROE request is reasonable given recent return awards.  Finally, as explained in SWEPCO’s Exceptions, t</w:t>
      </w:r>
      <w:r w:rsidRPr="00610A4B">
        <w:t>he mid-point of only a slightly more reasonable range (</w:t>
      </w:r>
      <w:r w:rsidRPr="00610A4B">
        <w:rPr>
          <w:i/>
        </w:rPr>
        <w:t>e.g</w:t>
      </w:r>
      <w:r w:rsidRPr="00610A4B">
        <w:t>., 9.3</w:t>
      </w:r>
      <w:r w:rsidR="00A66559">
        <w:t>-</w:t>
      </w:r>
      <w:r w:rsidRPr="00610A4B">
        <w:t>10.1 percent or 9.35</w:t>
      </w:r>
      <w:r w:rsidR="00A66559">
        <w:t>-</w:t>
      </w:r>
      <w:r w:rsidRPr="00610A4B">
        <w:t>10.1 percent) would yield a more reasonable result</w:t>
      </w:r>
      <w:r w:rsidR="00F4337B">
        <w:t>,</w:t>
      </w:r>
      <w:r w:rsidRPr="00610A4B">
        <w:t xml:space="preserve"> </w:t>
      </w:r>
      <w:r w:rsidRPr="00697497">
        <w:rPr>
          <w:i/>
        </w:rPr>
        <w:t>e.g</w:t>
      </w:r>
      <w:r w:rsidRPr="00610A4B">
        <w:t>., 9.7 or 9.725 percent that is more in line with recent vertically integrated ROE awards from this and other commissions, albeit still low.</w:t>
      </w:r>
    </w:p>
    <w:p w14:paraId="1DAA6DAC" w14:textId="77777777" w:rsidR="007B62B2" w:rsidRDefault="007B62B2" w:rsidP="003A17DF">
      <w:pPr>
        <w:pStyle w:val="Heading1"/>
        <w:keepNext w:val="0"/>
        <w:numPr>
          <w:ilvl w:val="0"/>
          <w:numId w:val="43"/>
        </w:numPr>
      </w:pPr>
      <w:bookmarkStart w:id="31" w:name="_Toc497123827"/>
      <w:bookmarkStart w:id="32" w:name="_Ref493149732"/>
      <w:bookmarkStart w:id="33" w:name="_Ref493150578"/>
      <w:bookmarkStart w:id="34" w:name="_Ref493153902"/>
      <w:bookmarkStart w:id="35" w:name="_Ref493328712"/>
      <w:r>
        <w:t>OPERATING AND MAINTENANCE EXPENSES</w:t>
      </w:r>
      <w:bookmarkEnd w:id="31"/>
      <w:r>
        <w:t xml:space="preserve"> </w:t>
      </w:r>
      <w:bookmarkEnd w:id="32"/>
      <w:bookmarkEnd w:id="33"/>
      <w:bookmarkEnd w:id="34"/>
      <w:bookmarkEnd w:id="35"/>
    </w:p>
    <w:p w14:paraId="2E3E1AAE" w14:textId="77777777" w:rsidR="007B62B2" w:rsidRDefault="007B62B2" w:rsidP="007B62B2">
      <w:pPr>
        <w:pStyle w:val="Heading2"/>
        <w:numPr>
          <w:ilvl w:val="0"/>
          <w:numId w:val="13"/>
        </w:numPr>
        <w:ind w:hanging="720"/>
      </w:pPr>
      <w:bookmarkStart w:id="36" w:name="_Toc497123828"/>
      <w:r>
        <w:t>Welsh Unit 2 O&amp;M</w:t>
      </w:r>
      <w:bookmarkEnd w:id="36"/>
    </w:p>
    <w:p w14:paraId="1F924BB9" w14:textId="77777777" w:rsidR="007B62B2" w:rsidRPr="00C42CA6" w:rsidRDefault="007B62B2" w:rsidP="007B62B2">
      <w:r>
        <w:t>As explained on page 45 of its exceptions, SWEPCO concurs with Staff that the proper amount of Welsh Unit 2 O&amp;M expenses should be clarified.</w:t>
      </w:r>
    </w:p>
    <w:p w14:paraId="4A6FA8C3" w14:textId="77777777" w:rsidR="007B62B2" w:rsidRDefault="007B62B2" w:rsidP="0064594B">
      <w:pPr>
        <w:pStyle w:val="Heading2"/>
        <w:spacing w:after="120"/>
        <w:ind w:hanging="720"/>
      </w:pPr>
      <w:bookmarkStart w:id="37" w:name="_Toc497123829"/>
      <w:r>
        <w:t>Production Maintenance Expense</w:t>
      </w:r>
      <w:bookmarkEnd w:id="37"/>
    </w:p>
    <w:p w14:paraId="38AA0F4A" w14:textId="77777777" w:rsidR="007B62B2" w:rsidRPr="003B4B85" w:rsidRDefault="007B62B2" w:rsidP="007B62B2">
      <w:pPr>
        <w:rPr>
          <w:b/>
          <w:i/>
        </w:rPr>
      </w:pPr>
      <w:r w:rsidRPr="003B4B85">
        <w:rPr>
          <w:b/>
          <w:i/>
        </w:rPr>
        <w:t xml:space="preserve">SWEPCO’s </w:t>
      </w:r>
      <w:r>
        <w:rPr>
          <w:b/>
          <w:i/>
        </w:rPr>
        <w:t>G</w:t>
      </w:r>
      <w:r w:rsidRPr="003B4B85">
        <w:rPr>
          <w:b/>
          <w:i/>
        </w:rPr>
        <w:t xml:space="preserve">eneration O&amp;M </w:t>
      </w:r>
      <w:r>
        <w:rPr>
          <w:b/>
          <w:i/>
        </w:rPr>
        <w:t>E</w:t>
      </w:r>
      <w:r w:rsidRPr="003B4B85">
        <w:rPr>
          <w:b/>
          <w:i/>
        </w:rPr>
        <w:t>xpenses &amp; TIEC’s Exceptions</w:t>
      </w:r>
    </w:p>
    <w:p w14:paraId="6F196A8A" w14:textId="77777777" w:rsidR="007B62B2" w:rsidRDefault="007B62B2" w:rsidP="007B62B2">
      <w:r>
        <w:t>SWEPCO seeks to recover its $148.1 test year generation O&amp;M expenses.</w:t>
      </w:r>
      <w:r>
        <w:rPr>
          <w:rStyle w:val="FootnoteReference"/>
        </w:rPr>
        <w:footnoteReference w:id="273"/>
      </w:r>
      <w:r>
        <w:t xml:space="preserve">  The prudence of these expenses is unchallenged.  This test year amount is quite close to actual 2016 expenses of $148.2 million.  But it is markedly less than the 2017 current</w:t>
      </w:r>
      <w:r w:rsidR="00F4337B">
        <w:t xml:space="preserve"> or </w:t>
      </w:r>
      <w:r>
        <w:t>budgeted expenses of $155 million.  And 2018 projected expenses exceed $155 million.</w:t>
      </w:r>
      <w:r>
        <w:rPr>
          <w:rStyle w:val="FootnoteReference"/>
        </w:rPr>
        <w:footnoteReference w:id="274"/>
      </w:r>
    </w:p>
    <w:p w14:paraId="3D19161C" w14:textId="77777777" w:rsidR="007B62B2" w:rsidRDefault="007B62B2" w:rsidP="007B62B2">
      <w:r>
        <w:lastRenderedPageBreak/>
        <w:t>Despite these facts, TIEC proposes a $9.21 million (total company) “normalization” disallowance.  TIEC’s approach, presented by Mr. Pollock, relies solely on backwards-looking information that is by now up to five years old and would result in rate recovery of just $138.9 million.</w:t>
      </w:r>
      <w:r>
        <w:rPr>
          <w:rStyle w:val="FootnoteReference"/>
        </w:rPr>
        <w:footnoteReference w:id="275"/>
      </w:r>
      <w:r>
        <w:t xml:space="preserve">  SWEPCO would thus suffer a significant shortfall of rate revenue versus expenses, a shortfall of $16.1 million in this year alone.  But the PFD came to the sensible conclusion that SWEPCO should recover its $148.1 million test year request.</w:t>
      </w:r>
      <w:r>
        <w:rPr>
          <w:rStyle w:val="FootnoteReference"/>
        </w:rPr>
        <w:footnoteReference w:id="276"/>
      </w:r>
      <w:r>
        <w:t xml:space="preserve">  TIEC </w:t>
      </w:r>
      <w:proofErr w:type="gramStart"/>
      <w:r>
        <w:t>excepts</w:t>
      </w:r>
      <w:proofErr w:type="gramEnd"/>
      <w:r>
        <w:t xml:space="preserve"> to this conclusion.</w:t>
      </w:r>
      <w:r>
        <w:rPr>
          <w:rStyle w:val="FootnoteReference"/>
        </w:rPr>
        <w:footnoteReference w:id="277"/>
      </w:r>
      <w:r>
        <w:t xml:space="preserve">  </w:t>
      </w:r>
    </w:p>
    <w:p w14:paraId="06721242" w14:textId="77777777" w:rsidR="007B62B2" w:rsidRDefault="007B62B2" w:rsidP="007B62B2">
      <w:r>
        <w:t>The PFD explains convincingly why to reject TIEC’s proposed normalization disallowance.</w:t>
      </w:r>
      <w:r>
        <w:rPr>
          <w:rStyle w:val="FootnoteReference"/>
        </w:rPr>
        <w:footnoteReference w:id="278"/>
      </w:r>
      <w:r>
        <w:t xml:space="preserve">  The Commission should follow suit and reject TIEC’s exceptions.  On the core issue of what standards apply to a generation O&amp;M normalization adjustment such as TIEC’s, the PFD not only properly follows SWEPCO’s own precedent, but also clearly points out TIEC’s signal failure to follow that precedent—which, ironically, was of TIEC’s own making. </w:t>
      </w:r>
    </w:p>
    <w:p w14:paraId="61331889" w14:textId="77777777" w:rsidR="007B62B2" w:rsidRPr="003B4B85" w:rsidRDefault="007B62B2" w:rsidP="007B62B2">
      <w:pPr>
        <w:keepNext/>
        <w:spacing w:after="240" w:line="240" w:lineRule="auto"/>
        <w:ind w:left="720" w:firstLine="0"/>
        <w:rPr>
          <w:b/>
          <w:i/>
        </w:rPr>
      </w:pPr>
      <w:r w:rsidRPr="003B4B85">
        <w:rPr>
          <w:b/>
          <w:i/>
        </w:rPr>
        <w:t>TIEC created and relied on the generation O&amp;M normalization precedent in SWEPCO’s last rate case but failed to comply with it in this case</w:t>
      </w:r>
    </w:p>
    <w:p w14:paraId="00412035" w14:textId="77777777" w:rsidR="007B62B2" w:rsidRDefault="007B62B2" w:rsidP="007B62B2">
      <w:pPr>
        <w:keepNext/>
      </w:pPr>
      <w:r>
        <w:t>The PFD is absolutely correct that under the precedent on which TIEC and Mr. Pollock rely (SWEPCO’s last rate case in Docket No. 40443), the generation O&amp;M normalization adjustment which TIEC proposes must be supported by forward looking</w:t>
      </w:r>
      <w:r w:rsidR="00F4337B">
        <w:t xml:space="preserve">, </w:t>
      </w:r>
      <w:r>
        <w:t xml:space="preserve">post-test year information.  Such information is necessary to determine whether the costs recovered in rates will be representative of future costs when new rates are in place.  Unlike in Docket No. 40443, TIEC failed to supply that information in this case.  SWEPCO did supply it.  The 2016-2018 expense information SWEPCO supplied and summarized above shows that no normalization disallowance is warranted because recovering $138.9 million in rates (TIEC’s position) only ensures that the expenses in rates would be far less than what SWEPCO is spending and will </w:t>
      </w:r>
      <w:r>
        <w:lastRenderedPageBreak/>
        <w:t>spend when new rates are in place.</w:t>
      </w:r>
      <w:r>
        <w:rPr>
          <w:rStyle w:val="FootnoteReference"/>
        </w:rPr>
        <w:footnoteReference w:id="279"/>
      </w:r>
    </w:p>
    <w:p w14:paraId="5D7D3BF6" w14:textId="77777777" w:rsidR="007B62B2" w:rsidRDefault="007B62B2" w:rsidP="007B62B2">
      <w:r>
        <w:t>It is important to grasp exactly what TIEC and Mr. Pollock did and did not argue.  First, they did not argue that any of SWEPCO’s generation O&amp;M costs were imprudent.  Mr. Pollock undertook no prudence analysis; no other party or witness challenged the prudence of SWEPCO’s generation O&amp;M expenses.</w:t>
      </w:r>
      <w:r>
        <w:rPr>
          <w:rStyle w:val="FootnoteReference"/>
        </w:rPr>
        <w:footnoteReference w:id="280"/>
      </w:r>
      <w:r>
        <w:t xml:space="preserve">  </w:t>
      </w:r>
    </w:p>
    <w:p w14:paraId="28723ABD" w14:textId="77777777" w:rsidR="007B62B2" w:rsidRDefault="007B62B2" w:rsidP="007B62B2">
      <w:r>
        <w:t xml:space="preserve">Second, what TIEC and Mr. Pollock did argue, as the PFD explains, is that SWEPCO’s production maintenance expenses should be normalized.  As Mr. Pollock put it, these </w:t>
      </w:r>
      <w:r w:rsidRPr="00093DF6">
        <w:t xml:space="preserve">expenses </w:t>
      </w:r>
      <w:r>
        <w:t>“</w:t>
      </w:r>
      <w:r w:rsidRPr="00093DF6">
        <w:t xml:space="preserve">should be set at a level that reflects a </w:t>
      </w:r>
      <w:r>
        <w:t>‘</w:t>
      </w:r>
      <w:r w:rsidRPr="00093DF6">
        <w:t>normal</w:t>
      </w:r>
      <w:r>
        <w:t>’</w:t>
      </w:r>
      <w:r w:rsidRPr="00093DF6">
        <w:t xml:space="preserve"> level of activity and expenditures.</w:t>
      </w:r>
      <w:r>
        <w:t>”</w:t>
      </w:r>
      <w:r>
        <w:rPr>
          <w:rStyle w:val="FootnoteReference"/>
        </w:rPr>
        <w:footnoteReference w:id="281"/>
      </w:r>
      <w:r>
        <w:t xml:space="preserve">  Mr. Pollock compared test year</w:t>
      </w:r>
      <w:r w:rsidRPr="004F56DE">
        <w:t xml:space="preserve"> </w:t>
      </w:r>
      <w:r w:rsidRPr="00093DF6">
        <w:t xml:space="preserve">production maintenance expenses </w:t>
      </w:r>
      <w:r>
        <w:t xml:space="preserve">only to historical expenses and </w:t>
      </w:r>
      <w:r w:rsidR="00EF778E">
        <w:t>alleged</w:t>
      </w:r>
      <w:r>
        <w:t xml:space="preserve"> that test year expenses were abnormally high compared to historical expenses going back to 2012.  He then proposed the $9.21 million disallowance to normalize the test year expenses, to make them align with historical expenses.</w:t>
      </w:r>
      <w:r>
        <w:rPr>
          <w:rStyle w:val="FootnoteReference"/>
        </w:rPr>
        <w:footnoteReference w:id="282"/>
      </w:r>
      <w:r>
        <w:t xml:space="preserve">  Notably, </w:t>
      </w:r>
      <w:r w:rsidRPr="002C4AE3">
        <w:t>Mr. Pollock never considered or mentioned O&amp;M expenses of any type that SWEPCO has incurred or will incur after the test year, wh</w:t>
      </w:r>
      <w:r>
        <w:t>en</w:t>
      </w:r>
      <w:r w:rsidRPr="002C4AE3">
        <w:t xml:space="preserve"> the new rates from this case will be in effect.</w:t>
      </w:r>
      <w:r w:rsidRPr="002C4AE3">
        <w:rPr>
          <w:vertAlign w:val="superscript"/>
        </w:rPr>
        <w:footnoteReference w:id="283"/>
      </w:r>
      <w:r>
        <w:t xml:space="preserve">  </w:t>
      </w:r>
    </w:p>
    <w:p w14:paraId="41443BE0" w14:textId="77777777" w:rsidR="007B62B2" w:rsidRDefault="007B62B2" w:rsidP="007B62B2">
      <w:r>
        <w:t xml:space="preserve">This exclusive reliance on historical data is a fatal omission under the Docket No. 40443 normalization precedent.  As explained below and in the PFD, this omission was cured by SWEPCO witness Paul Franklin.  And it was cured in such a way as to nullify any basis for a normalization disallowance. </w:t>
      </w:r>
    </w:p>
    <w:p w14:paraId="71B9EAB2" w14:textId="77777777" w:rsidR="007B62B2" w:rsidRDefault="007B62B2" w:rsidP="007B62B2">
      <w:r>
        <w:t>As for the Docket No. 40443 decision on which TIEC and Mr. Pollock rely,</w:t>
      </w:r>
      <w:r>
        <w:rPr>
          <w:rStyle w:val="FootnoteReference"/>
        </w:rPr>
        <w:footnoteReference w:id="284"/>
      </w:r>
      <w:r>
        <w:t xml:space="preserve"> the PFD explains in detail on pages 202-203 that the Commission adopted Mr. Pollock’s normalization recommendation.  But the PFD also succinctly notes that “the paradigm” Mr. Pollock advances in this case “</w:t>
      </w:r>
      <w:r w:rsidRPr="001C4162">
        <w:rPr>
          <w:b/>
        </w:rPr>
        <w:t xml:space="preserve">is not </w:t>
      </w:r>
      <w:r>
        <w:t xml:space="preserve">what Mr. Pollock recommended in SWEPCO Docket No. 40443, nor do the </w:t>
      </w:r>
      <w:r>
        <w:lastRenderedPageBreak/>
        <w:t>ALJs believe that is what the Commission approved when it adopted Mr. Pollock’s recommendation in that case.”</w:t>
      </w:r>
      <w:r>
        <w:rPr>
          <w:rStyle w:val="FootnoteReference"/>
        </w:rPr>
        <w:footnoteReference w:id="285"/>
      </w:r>
      <w:r>
        <w:t xml:space="preserve">  The PFD is undeniably correct on this central point.</w:t>
      </w:r>
    </w:p>
    <w:p w14:paraId="046DA534" w14:textId="77777777" w:rsidR="007B62B2" w:rsidRDefault="007B62B2" w:rsidP="007B62B2">
      <w:r>
        <w:t>On page 202, the PFD quotes the Commission’s relevant Findings of Fact 163-165 from the Docket No. 40443 order.  Those findings of fact emphasize that test year costs “should be generally representative of the costs the utility will incur in the future” (FoF 164) and that SWEPCO’s test year expense was “also significantly higher than projected expenses for future years.” (FoF 165)  The PFD accurately notes that the first prong of the analysis is the retrospective look at historical costs.  The PFD continues that “[t]</w:t>
      </w:r>
      <w:r>
        <w:rPr>
          <w:sz w:val="23"/>
          <w:szCs w:val="23"/>
        </w:rPr>
        <w:t xml:space="preserve">he second prong in the analysis, </w:t>
      </w:r>
      <w:r w:rsidRPr="00987DF5">
        <w:rPr>
          <w:b/>
          <w:sz w:val="23"/>
          <w:szCs w:val="23"/>
        </w:rPr>
        <w:t>which Mr. Pollock did not perform [in this case]</w:t>
      </w:r>
      <w:r>
        <w:rPr>
          <w:sz w:val="23"/>
          <w:szCs w:val="23"/>
        </w:rPr>
        <w:t>, is to investigate if the test year production maintenance expenses are actually part of trend curve that is increasing or decreasing.”</w:t>
      </w:r>
      <w:r>
        <w:rPr>
          <w:rStyle w:val="FootnoteReference"/>
          <w:sz w:val="23"/>
          <w:szCs w:val="23"/>
        </w:rPr>
        <w:footnoteReference w:id="286"/>
      </w:r>
    </w:p>
    <w:p w14:paraId="7D677D00" w14:textId="77777777" w:rsidR="007B62B2" w:rsidRPr="00377AAE" w:rsidRDefault="007B62B2" w:rsidP="007B62B2">
      <w:pPr>
        <w:spacing w:line="240" w:lineRule="auto"/>
        <w:ind w:left="720" w:firstLine="0"/>
        <w:rPr>
          <w:b/>
          <w:i/>
        </w:rPr>
      </w:pPr>
      <w:r w:rsidRPr="00377AAE">
        <w:rPr>
          <w:b/>
          <w:i/>
        </w:rPr>
        <w:t xml:space="preserve">SWEPCO </w:t>
      </w:r>
      <w:r>
        <w:rPr>
          <w:b/>
          <w:i/>
        </w:rPr>
        <w:t>S</w:t>
      </w:r>
      <w:r w:rsidRPr="00377AAE">
        <w:rPr>
          <w:b/>
          <w:i/>
        </w:rPr>
        <w:t>upplied the Projected Expense Information Required by the Docket No.</w:t>
      </w:r>
      <w:r>
        <w:rPr>
          <w:b/>
          <w:i/>
        </w:rPr>
        <w:t> </w:t>
      </w:r>
      <w:r w:rsidRPr="00377AAE">
        <w:rPr>
          <w:b/>
          <w:i/>
        </w:rPr>
        <w:t xml:space="preserve">40443 </w:t>
      </w:r>
      <w:r>
        <w:rPr>
          <w:b/>
          <w:i/>
        </w:rPr>
        <w:t>P</w:t>
      </w:r>
      <w:r w:rsidRPr="00377AAE">
        <w:rPr>
          <w:b/>
          <w:i/>
        </w:rPr>
        <w:t xml:space="preserve">recedent, and It Shows TIEC’s Normalization Adjustment is </w:t>
      </w:r>
      <w:r>
        <w:rPr>
          <w:b/>
          <w:i/>
        </w:rPr>
        <w:t>G</w:t>
      </w:r>
      <w:r w:rsidRPr="00377AAE">
        <w:rPr>
          <w:b/>
          <w:i/>
        </w:rPr>
        <w:t>roundless</w:t>
      </w:r>
    </w:p>
    <w:p w14:paraId="06336349" w14:textId="77777777" w:rsidR="007B62B2" w:rsidRPr="00D11F94" w:rsidRDefault="007B62B2" w:rsidP="007B62B2">
      <w:pPr>
        <w:spacing w:line="240" w:lineRule="auto"/>
        <w:jc w:val="center"/>
        <w:rPr>
          <w:i/>
        </w:rPr>
      </w:pPr>
    </w:p>
    <w:p w14:paraId="7C74ABC7" w14:textId="77777777" w:rsidR="007B62B2" w:rsidRDefault="007B62B2" w:rsidP="007B62B2">
      <w:pPr>
        <w:ind w:firstLine="547"/>
      </w:pPr>
      <w:r>
        <w:t>Instead, it was SWEPCO witness Paul Franklin who supplied the expense information to address “the second prong in the analysis.”  This information, along with a summary of Mr. Franklin’s testimony, is shown on pages 197-198 and 200 of the PFD.  This information shows that if rates were set at TIEC’s recommended level of $138.9 million, then SWEPCO would recover:</w:t>
      </w:r>
    </w:p>
    <w:p w14:paraId="22EEDD57" w14:textId="77777777" w:rsidR="007B62B2" w:rsidRPr="0095051C" w:rsidRDefault="007B62B2" w:rsidP="007B62B2">
      <w:pPr>
        <w:ind w:left="720" w:firstLine="0"/>
      </w:pPr>
      <w:r w:rsidRPr="0095051C">
        <w:t xml:space="preserve">(1) </w:t>
      </w:r>
      <w:r>
        <w:tab/>
      </w:r>
      <w:proofErr w:type="gramStart"/>
      <w:r>
        <w:t>l</w:t>
      </w:r>
      <w:r w:rsidRPr="0095051C">
        <w:t>ess</w:t>
      </w:r>
      <w:proofErr w:type="gramEnd"/>
      <w:r w:rsidRPr="0095051C">
        <w:t xml:space="preserve"> than 2015 expenses of $140.2 million</w:t>
      </w:r>
      <w:r>
        <w:t>;</w:t>
      </w:r>
      <w:r>
        <w:rPr>
          <w:rStyle w:val="FootnoteReference"/>
        </w:rPr>
        <w:footnoteReference w:id="287"/>
      </w:r>
    </w:p>
    <w:p w14:paraId="40AE2999" w14:textId="77777777" w:rsidR="007B62B2" w:rsidRPr="0095051C" w:rsidRDefault="007B62B2" w:rsidP="007B62B2">
      <w:pPr>
        <w:ind w:left="720" w:firstLine="0"/>
      </w:pPr>
      <w:r w:rsidRPr="0095051C">
        <w:t xml:space="preserve">(2) </w:t>
      </w:r>
      <w:r>
        <w:tab/>
      </w:r>
      <w:r w:rsidRPr="0095051C">
        <w:t xml:space="preserve">$9.3 million less than 2016 </w:t>
      </w:r>
      <w:r>
        <w:t xml:space="preserve">actual </w:t>
      </w:r>
      <w:r w:rsidRPr="0095051C">
        <w:t>expenses of $148.2 million;</w:t>
      </w:r>
    </w:p>
    <w:p w14:paraId="747EA7FF" w14:textId="77777777" w:rsidR="007B62B2" w:rsidRPr="0095051C" w:rsidRDefault="007B62B2" w:rsidP="007B62B2">
      <w:pPr>
        <w:ind w:left="720" w:firstLine="0"/>
      </w:pPr>
      <w:r w:rsidRPr="0095051C">
        <w:t xml:space="preserve">(3) </w:t>
      </w:r>
      <w:r>
        <w:tab/>
      </w:r>
      <w:r w:rsidRPr="0095051C">
        <w:t>$16.l million less than 2017 current</w:t>
      </w:r>
      <w:r w:rsidR="00F4337B">
        <w:t xml:space="preserve"> or </w:t>
      </w:r>
      <w:r w:rsidRPr="0095051C">
        <w:t>budgeted expenses of $155 million); and</w:t>
      </w:r>
    </w:p>
    <w:p w14:paraId="39FFE48A" w14:textId="77777777" w:rsidR="007B62B2" w:rsidRPr="0095051C" w:rsidRDefault="007B62B2" w:rsidP="007B62B2">
      <w:pPr>
        <w:ind w:left="1440" w:hanging="720"/>
      </w:pPr>
      <w:r w:rsidRPr="0095051C">
        <w:t xml:space="preserve">(4) </w:t>
      </w:r>
      <w:r>
        <w:tab/>
      </w:r>
      <w:proofErr w:type="gramStart"/>
      <w:r w:rsidRPr="0095051C">
        <w:t>more</w:t>
      </w:r>
      <w:proofErr w:type="gramEnd"/>
      <w:r w:rsidRPr="0095051C">
        <w:t xml:space="preserve"> than $16.1 million less than projected 2018 expenses (of more than $155</w:t>
      </w:r>
      <w:r>
        <w:t> </w:t>
      </w:r>
      <w:r w:rsidRPr="0095051C">
        <w:t>million).</w:t>
      </w:r>
    </w:p>
    <w:p w14:paraId="28EF4233" w14:textId="77777777" w:rsidR="00C542BB" w:rsidRDefault="007B62B2" w:rsidP="00C542BB">
      <w:r>
        <w:t xml:space="preserve">These facts establish that, under the Docket No. 40443 precedent and rationale, there is no basis for TIEC’s normalization </w:t>
      </w:r>
      <w:r w:rsidRPr="00EE11B7">
        <w:t>disallowance</w:t>
      </w:r>
      <w:r>
        <w:t>.</w:t>
      </w:r>
      <w:r w:rsidRPr="00EE11B7">
        <w:rPr>
          <w:b/>
        </w:rPr>
        <w:t xml:space="preserve"> </w:t>
      </w:r>
      <w:r w:rsidR="00C542BB">
        <w:rPr>
          <w:b/>
        </w:rPr>
        <w:t xml:space="preserve"> </w:t>
      </w:r>
      <w:r w:rsidR="00C542BB">
        <w:t>After reviewing this evidence, the ALJs were rightly persuaded that the test year production maintenance expenses were “part of an increasing trend line that continues into the foreseeable future” and further concluded:</w:t>
      </w:r>
    </w:p>
    <w:p w14:paraId="7DCB5D9D" w14:textId="77777777" w:rsidR="00C542BB" w:rsidRDefault="00C542BB" w:rsidP="00C542BB">
      <w:pPr>
        <w:spacing w:line="240" w:lineRule="auto"/>
        <w:ind w:left="720" w:right="720" w:firstLine="0"/>
      </w:pPr>
      <w:r>
        <w:lastRenderedPageBreak/>
        <w:t>The evidence shows that SWEPCO will experience increasing production O&amp;M expenses because of the increased maintenance needs associated with aging power plants that need additional maintenance, in conjunction with the increased O&amp;M expenses associated with the installation and operation of environmental controls.</w:t>
      </w:r>
      <w:r>
        <w:rPr>
          <w:rStyle w:val="FootnoteReference"/>
        </w:rPr>
        <w:footnoteReference w:id="288"/>
      </w:r>
    </w:p>
    <w:p w14:paraId="7DD34DFC" w14:textId="77777777" w:rsidR="00C542BB" w:rsidRDefault="00C542BB" w:rsidP="00C542BB">
      <w:pPr>
        <w:spacing w:line="240" w:lineRule="auto"/>
        <w:ind w:left="1440" w:right="1440"/>
      </w:pPr>
    </w:p>
    <w:p w14:paraId="2E63C9CA" w14:textId="77777777" w:rsidR="007B62B2" w:rsidRDefault="00C542BB" w:rsidP="00C542BB">
      <w:r>
        <w:t>Thus, the evidence shows that the test year level of expense is representative of, and actually lower than, the costs SWEPCO will likely incur in the future.</w:t>
      </w:r>
    </w:p>
    <w:p w14:paraId="45410CFE" w14:textId="77777777" w:rsidR="007B62B2" w:rsidRPr="00377AAE" w:rsidRDefault="007B62B2" w:rsidP="007B62B2">
      <w:pPr>
        <w:keepNext/>
        <w:widowControl/>
        <w:rPr>
          <w:b/>
          <w:i/>
        </w:rPr>
      </w:pPr>
      <w:r w:rsidRPr="00377AAE">
        <w:rPr>
          <w:b/>
          <w:i/>
        </w:rPr>
        <w:t xml:space="preserve">TIEC’s </w:t>
      </w:r>
      <w:r>
        <w:rPr>
          <w:b/>
          <w:i/>
        </w:rPr>
        <w:t>C</w:t>
      </w:r>
      <w:r w:rsidRPr="00377AAE">
        <w:rPr>
          <w:b/>
          <w:i/>
        </w:rPr>
        <w:t xml:space="preserve">riticisms of </w:t>
      </w:r>
      <w:r>
        <w:rPr>
          <w:b/>
          <w:i/>
        </w:rPr>
        <w:t>P</w:t>
      </w:r>
      <w:r w:rsidRPr="00377AAE">
        <w:rPr>
          <w:b/>
          <w:i/>
        </w:rPr>
        <w:t xml:space="preserve">rojected </w:t>
      </w:r>
      <w:r>
        <w:rPr>
          <w:b/>
          <w:i/>
        </w:rPr>
        <w:t>I</w:t>
      </w:r>
      <w:r w:rsidRPr="00377AAE">
        <w:rPr>
          <w:b/>
          <w:i/>
        </w:rPr>
        <w:t>nformation Ring Hollow</w:t>
      </w:r>
    </w:p>
    <w:p w14:paraId="6B9C5878" w14:textId="77777777" w:rsidR="007B62B2" w:rsidRDefault="007B62B2" w:rsidP="007B62B2">
      <w:pPr>
        <w:keepNext/>
        <w:widowControl/>
      </w:pPr>
      <w:r>
        <w:t>TIEC attempts to disparage the use of SWEPCO’s projected expense information, both in its quality and in its necessity for a normalization adjustment.  TIEC’s arguments are not credible.  First, the $148.2 million 2016 expenses are actuals, not estimates.  As for the $155 expenses for 2017, Mr. Franklin testified on June 14, 2017 (approximately half way into the budget year) that there is “no doubt” SWEPCO would spend that amount and that he is “struggling to not go over that.”</w:t>
      </w:r>
      <w:r>
        <w:rPr>
          <w:rStyle w:val="FootnoteReference"/>
        </w:rPr>
        <w:footnoteReference w:id="289"/>
      </w:r>
    </w:p>
    <w:p w14:paraId="67FAD885" w14:textId="77777777" w:rsidR="007B62B2" w:rsidRPr="006C4825" w:rsidRDefault="007B62B2" w:rsidP="007B62B2">
      <w:r>
        <w:t xml:space="preserve">Second, </w:t>
      </w:r>
      <w:r w:rsidRPr="006C4825">
        <w:t xml:space="preserve">TIEC claims that Mr. Pollock did not use future projections in this docket because “SWEPCO simply did not provide reliable </w:t>
      </w:r>
      <w:r>
        <w:t>projections</w:t>
      </w:r>
      <w:r w:rsidRPr="006C4825">
        <w:t>.”</w:t>
      </w:r>
      <w:r w:rsidRPr="006C4825">
        <w:rPr>
          <w:vertAlign w:val="superscript"/>
        </w:rPr>
        <w:footnoteReference w:id="290"/>
      </w:r>
      <w:r w:rsidRPr="006C4825">
        <w:t xml:space="preserve">  This after-the-fact rationale does not appear </w:t>
      </w:r>
      <w:r>
        <w:t xml:space="preserve">anywhere </w:t>
      </w:r>
      <w:r w:rsidRPr="006C4825">
        <w:t xml:space="preserve">in Mr. Pollock’s testimony and is </w:t>
      </w:r>
      <w:r>
        <w:t xml:space="preserve">in fact </w:t>
      </w:r>
      <w:r w:rsidRPr="006C4825">
        <w:t xml:space="preserve">just made up.  Instead, what </w:t>
      </w:r>
      <w:r>
        <w:t xml:space="preserve">Mr. Pollock actually </w:t>
      </w:r>
      <w:r w:rsidRPr="006C4825">
        <w:t xml:space="preserve">said </w:t>
      </w:r>
      <w:r>
        <w:t xml:space="preserve">at the hearing </w:t>
      </w:r>
      <w:r w:rsidRPr="006C4825">
        <w:t>was</w:t>
      </w:r>
      <w:r>
        <w:t>:</w:t>
      </w:r>
    </w:p>
    <w:p w14:paraId="1D5159EF" w14:textId="77777777" w:rsidR="007B62B2" w:rsidRPr="006C4825" w:rsidRDefault="007B62B2" w:rsidP="007B62B2">
      <w:pPr>
        <w:spacing w:line="240" w:lineRule="auto"/>
        <w:ind w:left="1440" w:right="540" w:hanging="720"/>
        <w:rPr>
          <w:color w:val="000000"/>
        </w:rPr>
      </w:pPr>
      <w:proofErr w:type="gramStart"/>
      <w:r w:rsidRPr="006C4825">
        <w:rPr>
          <w:color w:val="000000"/>
        </w:rPr>
        <w:t>Q.</w:t>
      </w:r>
      <w:r w:rsidRPr="006C4825">
        <w:rPr>
          <w:color w:val="FFFFFF"/>
        </w:rPr>
        <w:t>·</w:t>
      </w:r>
      <w:proofErr w:type="gramEnd"/>
      <w:r w:rsidRPr="006C4825">
        <w:rPr>
          <w:color w:val="FFFFFF"/>
        </w:rPr>
        <w:t xml:space="preserve"> ··</w:t>
      </w:r>
      <w:r w:rsidRPr="006C4825">
        <w:rPr>
          <w:color w:val="FFFFFF"/>
        </w:rPr>
        <w:tab/>
      </w:r>
      <w:r w:rsidRPr="006C4825">
        <w:rPr>
          <w:color w:val="000000"/>
        </w:rPr>
        <w:t xml:space="preserve">You did not look at the future.  The future </w:t>
      </w:r>
      <w:r w:rsidRPr="006C4825">
        <w:rPr>
          <w:color w:val="FFFFFF"/>
        </w:rPr>
        <w:t>·</w:t>
      </w:r>
      <w:r w:rsidRPr="006C4825">
        <w:rPr>
          <w:color w:val="000000"/>
        </w:rPr>
        <w:t xml:space="preserve">projected expenses are not addressed anywhere within </w:t>
      </w:r>
      <w:r w:rsidRPr="006C4825">
        <w:rPr>
          <w:color w:val="FFFFFF"/>
        </w:rPr>
        <w:t>·</w:t>
      </w:r>
      <w:r w:rsidRPr="006C4825">
        <w:rPr>
          <w:color w:val="000000"/>
        </w:rPr>
        <w:t>your testimony in this current case.  Correct?</w:t>
      </w:r>
    </w:p>
    <w:p w14:paraId="54F3E3B7" w14:textId="77777777" w:rsidR="007B62B2" w:rsidRPr="006C4825" w:rsidRDefault="007B62B2" w:rsidP="007B62B2">
      <w:pPr>
        <w:spacing w:line="240" w:lineRule="auto"/>
        <w:ind w:left="1440" w:right="540" w:hanging="720"/>
      </w:pPr>
      <w:proofErr w:type="gramStart"/>
      <w:r w:rsidRPr="006C4825">
        <w:rPr>
          <w:color w:val="000000"/>
        </w:rPr>
        <w:t>A.</w:t>
      </w:r>
      <w:r w:rsidRPr="006C4825">
        <w:rPr>
          <w:color w:val="FFFFFF"/>
        </w:rPr>
        <w:t>·</w:t>
      </w:r>
      <w:proofErr w:type="gramEnd"/>
      <w:r w:rsidRPr="006C4825">
        <w:rPr>
          <w:color w:val="FFFFFF"/>
        </w:rPr>
        <w:t xml:space="preserve"> ··</w:t>
      </w:r>
      <w:r w:rsidRPr="006C4825">
        <w:rPr>
          <w:color w:val="FFFFFF"/>
        </w:rPr>
        <w:tab/>
      </w:r>
      <w:r w:rsidRPr="006C4825">
        <w:rPr>
          <w:color w:val="000000"/>
        </w:rPr>
        <w:t>That’s right.  They [the environmental retrofits] were an extraordinary change.</w:t>
      </w:r>
      <w:r w:rsidRPr="006C4825">
        <w:rPr>
          <w:color w:val="000000"/>
          <w:vertAlign w:val="superscript"/>
        </w:rPr>
        <w:footnoteReference w:id="291"/>
      </w:r>
      <w:r w:rsidRPr="006C4825">
        <w:rPr>
          <w:color w:val="000000"/>
        </w:rPr>
        <w:t xml:space="preserve"> </w:t>
      </w:r>
    </w:p>
    <w:p w14:paraId="2B73BEAB" w14:textId="77777777" w:rsidR="007B62B2" w:rsidRPr="006C4825" w:rsidRDefault="007B62B2" w:rsidP="007B62B2">
      <w:pPr>
        <w:spacing w:line="240" w:lineRule="auto"/>
        <w:ind w:left="630"/>
        <w:rPr>
          <w:color w:val="000000"/>
        </w:rPr>
      </w:pPr>
    </w:p>
    <w:p w14:paraId="12668223" w14:textId="77777777" w:rsidR="007B62B2" w:rsidRPr="006C4825" w:rsidRDefault="007B62B2" w:rsidP="007B62B2">
      <w:pPr>
        <w:rPr>
          <w:color w:val="000000"/>
        </w:rPr>
      </w:pPr>
      <w:r w:rsidRPr="006C4825">
        <w:rPr>
          <w:color w:val="000000"/>
        </w:rPr>
        <w:t xml:space="preserve">Yet Mr. Pollock was clear that the retrofits would increase O&amp;M expenses: </w:t>
      </w:r>
    </w:p>
    <w:p w14:paraId="019B2E4B" w14:textId="77777777" w:rsidR="007B62B2" w:rsidRPr="006C4825" w:rsidRDefault="007B62B2" w:rsidP="007B62B2">
      <w:pPr>
        <w:spacing w:line="240" w:lineRule="auto"/>
        <w:ind w:left="1440" w:right="540" w:hanging="720"/>
        <w:rPr>
          <w:color w:val="000000"/>
        </w:rPr>
      </w:pPr>
      <w:r w:rsidRPr="006C4825">
        <w:rPr>
          <w:color w:val="000000"/>
        </w:rPr>
        <w:t xml:space="preserve">Q. </w:t>
      </w:r>
      <w:r w:rsidRPr="006C4825">
        <w:rPr>
          <w:color w:val="000000"/>
        </w:rPr>
        <w:tab/>
        <w:t>. . .but is it your professional opinion that the environmental retrofits that SWEPCO installed and that are at issue in this case, will or will not increase O&amp;M expenses going forward?</w:t>
      </w:r>
    </w:p>
    <w:p w14:paraId="394BA1DA" w14:textId="77777777" w:rsidR="007B62B2" w:rsidRDefault="007B62B2" w:rsidP="007B62B2">
      <w:pPr>
        <w:spacing w:line="240" w:lineRule="auto"/>
        <w:ind w:left="1440" w:right="540" w:hanging="720"/>
        <w:rPr>
          <w:color w:val="000000"/>
          <w:vertAlign w:val="superscript"/>
        </w:rPr>
      </w:pPr>
      <w:r w:rsidRPr="006C4825">
        <w:rPr>
          <w:color w:val="000000"/>
        </w:rPr>
        <w:t>A.</w:t>
      </w:r>
      <w:r w:rsidRPr="006C4825">
        <w:rPr>
          <w:color w:val="000000"/>
        </w:rPr>
        <w:tab/>
        <w:t>Well, additional equipment means you</w:t>
      </w:r>
      <w:r>
        <w:rPr>
          <w:color w:val="000000"/>
        </w:rPr>
        <w:t>’</w:t>
      </w:r>
      <w:r w:rsidRPr="006C4825">
        <w:rPr>
          <w:color w:val="000000"/>
        </w:rPr>
        <w:t>re going to spend a little more money operating and maintaining it.</w:t>
      </w:r>
      <w:r w:rsidRPr="006C4825">
        <w:rPr>
          <w:vertAlign w:val="superscript"/>
        </w:rPr>
        <w:footnoteReference w:id="292"/>
      </w:r>
      <w:r w:rsidRPr="006C4825">
        <w:rPr>
          <w:color w:val="000000"/>
          <w:vertAlign w:val="superscript"/>
        </w:rPr>
        <w:t xml:space="preserve"> </w:t>
      </w:r>
    </w:p>
    <w:p w14:paraId="258D014A" w14:textId="77777777" w:rsidR="007B62B2" w:rsidRPr="006C4825" w:rsidRDefault="007B62B2" w:rsidP="007B62B2">
      <w:pPr>
        <w:spacing w:line="240" w:lineRule="auto"/>
        <w:ind w:left="1440" w:right="540" w:hanging="720"/>
        <w:rPr>
          <w:color w:val="000000"/>
        </w:rPr>
      </w:pPr>
    </w:p>
    <w:p w14:paraId="2D7731B3" w14:textId="77777777" w:rsidR="007B62B2" w:rsidRDefault="007B62B2" w:rsidP="007B62B2">
      <w:r>
        <w:t>Thus, contrary to TIEC’s fictional comment on the reliability of SWEPCO’s information, t</w:t>
      </w:r>
      <w:r w:rsidRPr="006C4825">
        <w:t xml:space="preserve">he most plausible inference is that Mr. Pollock, given the retrofits, </w:t>
      </w:r>
      <w:r>
        <w:t>excluded</w:t>
      </w:r>
      <w:r w:rsidRPr="006C4825">
        <w:t xml:space="preserve"> projected expenses because </w:t>
      </w:r>
      <w:r>
        <w:t xml:space="preserve">he realized that including them </w:t>
      </w:r>
      <w:r w:rsidRPr="006C4825">
        <w:t>would undermine his proposed disallowance</w:t>
      </w:r>
      <w:r>
        <w:t>.</w:t>
      </w:r>
    </w:p>
    <w:p w14:paraId="50BA743F" w14:textId="77777777" w:rsidR="007B62B2" w:rsidRDefault="007B62B2" w:rsidP="007B62B2">
      <w:r>
        <w:t xml:space="preserve">Third, TIEC’s criticism of projected information is belied by its own and Mr. Pollock’s arguments in Docket No. 40443.  Mr. Pollock’s normalization analysis in Docket No. 40443 included maintenance expenses projected </w:t>
      </w:r>
      <w:r>
        <w:rPr>
          <w:b/>
        </w:rPr>
        <w:t>through the three years following the 2011 test year in that case</w:t>
      </w:r>
      <w:r>
        <w:t>.</w:t>
      </w:r>
      <w:r>
        <w:rPr>
          <w:vertAlign w:val="superscript"/>
        </w:rPr>
        <w:footnoteReference w:id="293"/>
      </w:r>
      <w:r>
        <w:t xml:space="preserve">  In its briefing to the Commission that prevailed on this normalization issue in Docket No. 40443, TIEC urged throughout the necessity of looking at forward-looking cost information for a normalization analysis:</w:t>
      </w:r>
    </w:p>
    <w:p w14:paraId="1C0A7506" w14:textId="77777777" w:rsidR="007B62B2" w:rsidRDefault="007B62B2" w:rsidP="004569ED">
      <w:pPr>
        <w:pStyle w:val="ListParagraph"/>
        <w:numPr>
          <w:ilvl w:val="0"/>
          <w:numId w:val="35"/>
        </w:numPr>
        <w:spacing w:after="200" w:line="240" w:lineRule="auto"/>
        <w:ind w:left="1440" w:right="720" w:hanging="720"/>
        <w:contextualSpacing/>
      </w:pPr>
      <w:r>
        <w:t>SWEPCO’s expense level “is significantly higher than projected expenses for future years.”</w:t>
      </w:r>
      <w:r>
        <w:rPr>
          <w:rStyle w:val="FootnoteReference"/>
        </w:rPr>
        <w:footnoteReference w:id="294"/>
      </w:r>
      <w:r>
        <w:t xml:space="preserve"> </w:t>
      </w:r>
    </w:p>
    <w:p w14:paraId="58381C61" w14:textId="77777777" w:rsidR="004569ED" w:rsidRDefault="004569ED" w:rsidP="004569ED">
      <w:pPr>
        <w:pStyle w:val="ListParagraph"/>
        <w:spacing w:after="200" w:line="240" w:lineRule="auto"/>
        <w:ind w:left="1440" w:right="720" w:hanging="720"/>
        <w:contextualSpacing/>
      </w:pPr>
    </w:p>
    <w:p w14:paraId="7BA58DBA" w14:textId="77777777" w:rsidR="004569ED" w:rsidRDefault="007B62B2" w:rsidP="004569ED">
      <w:pPr>
        <w:pStyle w:val="ListParagraph"/>
        <w:numPr>
          <w:ilvl w:val="0"/>
          <w:numId w:val="35"/>
        </w:numPr>
        <w:spacing w:line="240" w:lineRule="auto"/>
        <w:ind w:left="1440" w:right="720" w:hanging="720"/>
        <w:contextualSpacing/>
      </w:pPr>
      <w:r>
        <w:t>SWEPCO’s 2011 test year expense is “approximately 25% higher than the projected 2012-2014 expense.”</w:t>
      </w:r>
      <w:r>
        <w:rPr>
          <w:rStyle w:val="FootnoteReference"/>
        </w:rPr>
        <w:footnoteReference w:id="295"/>
      </w:r>
    </w:p>
    <w:p w14:paraId="193B0645" w14:textId="77777777" w:rsidR="004569ED" w:rsidRDefault="004569ED" w:rsidP="004569ED">
      <w:pPr>
        <w:pStyle w:val="ListParagraph"/>
        <w:spacing w:line="240" w:lineRule="auto"/>
        <w:ind w:left="1440" w:right="720" w:hanging="720"/>
        <w:contextualSpacing/>
      </w:pPr>
    </w:p>
    <w:p w14:paraId="086C358C" w14:textId="77777777" w:rsidR="007B62B2" w:rsidRPr="0051512E" w:rsidRDefault="007B62B2" w:rsidP="004569ED">
      <w:pPr>
        <w:pStyle w:val="ListParagraph"/>
        <w:numPr>
          <w:ilvl w:val="0"/>
          <w:numId w:val="35"/>
        </w:numPr>
        <w:spacing w:after="200" w:line="240" w:lineRule="auto"/>
        <w:ind w:left="1440" w:right="720" w:hanging="720"/>
        <w:contextualSpacing/>
      </w:pPr>
      <w:r>
        <w:t>The Commission should “normalize test year expenses consistent with past experience and projected activity.”</w:t>
      </w:r>
      <w:r>
        <w:rPr>
          <w:rStyle w:val="FootnoteReference"/>
        </w:rPr>
        <w:footnoteReference w:id="296"/>
      </w:r>
    </w:p>
    <w:p w14:paraId="3A4F0357" w14:textId="77777777" w:rsidR="007B62B2" w:rsidRDefault="007B62B2" w:rsidP="007B62B2">
      <w:r>
        <w:t>Putting together TIEC’s arguments in Docket No. 40443 with what its position in this case, it is apparent that TIEC has done an about-face.  TIEC wants the flexibility to urge that future expenses count for a normalization adjustment if they are relatively lower but do not count if they are relatively higher.  A regulatory policy that countenanced such flip-flopping would be arbitrary and capricious.</w:t>
      </w:r>
    </w:p>
    <w:p w14:paraId="04400563" w14:textId="77777777" w:rsidR="007B62B2" w:rsidRPr="000F5BDC" w:rsidRDefault="007B62B2" w:rsidP="007B62B2">
      <w:pPr>
        <w:rPr>
          <w:b/>
          <w:i/>
          <w:iCs/>
        </w:rPr>
      </w:pPr>
      <w:r w:rsidRPr="000F5BDC">
        <w:rPr>
          <w:b/>
          <w:i/>
          <w:iCs/>
        </w:rPr>
        <w:t xml:space="preserve">Other </w:t>
      </w:r>
      <w:r>
        <w:rPr>
          <w:b/>
          <w:i/>
          <w:iCs/>
        </w:rPr>
        <w:t>F</w:t>
      </w:r>
      <w:r w:rsidRPr="000F5BDC">
        <w:rPr>
          <w:b/>
          <w:i/>
          <w:iCs/>
        </w:rPr>
        <w:t xml:space="preserve">laws </w:t>
      </w:r>
      <w:r>
        <w:rPr>
          <w:b/>
          <w:i/>
          <w:iCs/>
        </w:rPr>
        <w:t>M</w:t>
      </w:r>
      <w:r w:rsidRPr="000F5BDC">
        <w:rPr>
          <w:b/>
          <w:i/>
          <w:iCs/>
        </w:rPr>
        <w:t>ar Mr. Pollock’s Normalization Approach</w:t>
      </w:r>
    </w:p>
    <w:p w14:paraId="271B6635" w14:textId="77777777" w:rsidR="007B62B2" w:rsidRPr="00486EC2" w:rsidRDefault="007B62B2" w:rsidP="007B62B2">
      <w:pPr>
        <w:rPr>
          <w:iCs/>
        </w:rPr>
      </w:pPr>
      <w:r>
        <w:rPr>
          <w:iCs/>
        </w:rPr>
        <w:t>Even apart from Mr. Pollock’s failure to follow t</w:t>
      </w:r>
      <w:r>
        <w:rPr>
          <w:sz w:val="23"/>
          <w:szCs w:val="23"/>
        </w:rPr>
        <w:t xml:space="preserve">he “second prong” of the Docket No. 40443 framework, other flaws mar his approach.  </w:t>
      </w:r>
      <w:r w:rsidRPr="00486EC2">
        <w:rPr>
          <w:iCs/>
        </w:rPr>
        <w:t xml:space="preserve">SWEPCO’s Mr. Franklin explained </w:t>
      </w:r>
      <w:r>
        <w:rPr>
          <w:iCs/>
        </w:rPr>
        <w:t xml:space="preserve">these </w:t>
      </w:r>
      <w:r w:rsidRPr="00486EC2">
        <w:rPr>
          <w:iCs/>
        </w:rPr>
        <w:lastRenderedPageBreak/>
        <w:t xml:space="preserve">other flaws.  </w:t>
      </w:r>
      <w:r>
        <w:rPr>
          <w:iCs/>
        </w:rPr>
        <w:t xml:space="preserve">First, </w:t>
      </w:r>
      <w:r w:rsidRPr="00486EC2">
        <w:rPr>
          <w:iCs/>
        </w:rPr>
        <w:t xml:space="preserve">Mr. Pollock’s analysis failed to consider information showing 2011-2019 expenses for </w:t>
      </w:r>
      <w:r w:rsidRPr="00486EC2">
        <w:t>major overhauls (a subset of planned outages).  This information showed that average annual forecasted major overhaul O&amp;M expenses for the period 2017</w:t>
      </w:r>
      <w:r>
        <w:t>-</w:t>
      </w:r>
      <w:r w:rsidRPr="00486EC2">
        <w:t>2019 ($22,350,706) were higher than the test year ($20,912,752).</w:t>
      </w:r>
      <w:r w:rsidRPr="00486EC2">
        <w:rPr>
          <w:vertAlign w:val="superscript"/>
        </w:rPr>
        <w:footnoteReference w:id="297"/>
      </w:r>
    </w:p>
    <w:p w14:paraId="612CBE6B" w14:textId="77777777" w:rsidR="007B62B2" w:rsidRPr="00486EC2" w:rsidRDefault="007B62B2" w:rsidP="007B62B2">
      <w:pPr>
        <w:rPr>
          <w:iCs/>
        </w:rPr>
      </w:pPr>
      <w:r>
        <w:rPr>
          <w:iCs/>
        </w:rPr>
        <w:t xml:space="preserve">Second, </w:t>
      </w:r>
      <w:r w:rsidRPr="00486EC2">
        <w:rPr>
          <w:iCs/>
        </w:rPr>
        <w:t>Mr. Pollock</w:t>
      </w:r>
      <w:r>
        <w:rPr>
          <w:iCs/>
        </w:rPr>
        <w:t xml:space="preserve"> relied </w:t>
      </w:r>
      <w:r w:rsidRPr="00486EC2">
        <w:rPr>
          <w:iCs/>
        </w:rPr>
        <w:t xml:space="preserve">on specific FERC Uniform System of Accounts for the calculation of planned outage production maintenance costs.  </w:t>
      </w:r>
      <w:r>
        <w:rPr>
          <w:iCs/>
        </w:rPr>
        <w:t>Yet t</w:t>
      </w:r>
      <w:r w:rsidRPr="00486EC2">
        <w:rPr>
          <w:iCs/>
        </w:rPr>
        <w:t>hese accounts include expenses that are not related to planned outages and do not segregate planned outage expenses from the others.</w:t>
      </w:r>
      <w:r w:rsidRPr="00486EC2">
        <w:rPr>
          <w:iCs/>
          <w:vertAlign w:val="superscript"/>
        </w:rPr>
        <w:footnoteReference w:id="298"/>
      </w:r>
      <w:r w:rsidRPr="00486EC2">
        <w:rPr>
          <w:iCs/>
        </w:rPr>
        <w:t xml:space="preserve">  Therefore, Mr. Pollock’s extrapolations from that information are unreliable.</w:t>
      </w:r>
    </w:p>
    <w:p w14:paraId="0C91ED6F" w14:textId="77777777" w:rsidR="007B62B2" w:rsidRPr="000F5BDC" w:rsidRDefault="007B62B2" w:rsidP="007B62B2">
      <w:pPr>
        <w:rPr>
          <w:b/>
          <w:i/>
        </w:rPr>
      </w:pPr>
      <w:r w:rsidRPr="000F5BDC">
        <w:rPr>
          <w:b/>
          <w:i/>
        </w:rPr>
        <w:t xml:space="preserve">TIEC’s Alternative Disallowance is Only Less of the </w:t>
      </w:r>
      <w:proofErr w:type="gramStart"/>
      <w:r>
        <w:rPr>
          <w:b/>
          <w:i/>
        </w:rPr>
        <w:t>S</w:t>
      </w:r>
      <w:r w:rsidRPr="000F5BDC">
        <w:rPr>
          <w:b/>
          <w:i/>
        </w:rPr>
        <w:t>ame</w:t>
      </w:r>
      <w:proofErr w:type="gramEnd"/>
      <w:r w:rsidRPr="000F5BDC">
        <w:rPr>
          <w:b/>
          <w:i/>
        </w:rPr>
        <w:t xml:space="preserve"> and Should Be Rejected</w:t>
      </w:r>
    </w:p>
    <w:p w14:paraId="554E77A4" w14:textId="77777777" w:rsidR="007B62B2" w:rsidRDefault="007B62B2" w:rsidP="007B62B2">
      <w:r>
        <w:t>TIEC last offers an alternative $2,397,013 (Texas retail) disallowance based on expenses at the Welsh and Flint Creek plants, which were driven largely by outages.</w:t>
      </w:r>
      <w:r>
        <w:rPr>
          <w:rStyle w:val="FootnoteReference"/>
        </w:rPr>
        <w:footnoteReference w:id="299"/>
      </w:r>
      <w:r>
        <w:t xml:space="preserve">  This TIEC recommendation (which, like TIEC’s primary argument, is not based on imprudence) is nothing more than a variant of piecemeal ratemaking and should be dismissed.  Like TIEC’s primary normalization proposal, this alternative proposal would only ensure that SWEPCO under-recovers what it must spend for its generation units to function properly. </w:t>
      </w:r>
    </w:p>
    <w:p w14:paraId="3E50B0E2" w14:textId="77777777" w:rsidR="007B62B2" w:rsidRPr="000F5BDC" w:rsidRDefault="007B62B2" w:rsidP="007B62B2">
      <w:pPr>
        <w:rPr>
          <w:b/>
          <w:i/>
        </w:rPr>
      </w:pPr>
      <w:r w:rsidRPr="000F5BDC">
        <w:rPr>
          <w:b/>
          <w:i/>
        </w:rPr>
        <w:t>Conclusion</w:t>
      </w:r>
    </w:p>
    <w:p w14:paraId="389EB3EE" w14:textId="77777777" w:rsidR="007B62B2" w:rsidRDefault="007B62B2" w:rsidP="007B62B2">
      <w:r>
        <w:t xml:space="preserve">To conclude, TIEC offers no credible argument to undermine the PFD.  TIEC’s recommended disallowances not only are contrary to the facts and precedent but also would put SWEPCO below what </w:t>
      </w:r>
      <w:r w:rsidR="00474EC4">
        <w:t xml:space="preserve">it </w:t>
      </w:r>
      <w:r>
        <w:t>has spent, is spending and will be spending to operate and maintain its generation fleet.  That outcome would indeed be short-sighted regulatory policy.</w:t>
      </w:r>
    </w:p>
    <w:p w14:paraId="3B698588" w14:textId="77777777" w:rsidR="00B00B7F" w:rsidRDefault="00B00B7F" w:rsidP="003A17DF">
      <w:pPr>
        <w:pStyle w:val="Heading2"/>
        <w:numPr>
          <w:ilvl w:val="0"/>
          <w:numId w:val="44"/>
        </w:numPr>
        <w:ind w:hanging="720"/>
      </w:pPr>
      <w:bookmarkStart w:id="38" w:name="_Toc497123830"/>
      <w:r>
        <w:t>Depreciation and Amortization Expense</w:t>
      </w:r>
      <w:bookmarkEnd w:id="38"/>
      <w:r>
        <w:t xml:space="preserve"> </w:t>
      </w:r>
    </w:p>
    <w:p w14:paraId="5A34849A" w14:textId="77777777" w:rsidR="00B00B7F" w:rsidRDefault="00B00B7F" w:rsidP="003A17DF">
      <w:pPr>
        <w:pStyle w:val="Heading3"/>
        <w:numPr>
          <w:ilvl w:val="0"/>
          <w:numId w:val="15"/>
        </w:numPr>
      </w:pPr>
      <w:bookmarkStart w:id="39" w:name="_Toc497123831"/>
      <w:r>
        <w:t>Adjustment to Accumulated Depreciation</w:t>
      </w:r>
      <w:bookmarkEnd w:id="39"/>
      <w:r>
        <w:t xml:space="preserve"> </w:t>
      </w:r>
    </w:p>
    <w:p w14:paraId="2BCFEBC0" w14:textId="77777777" w:rsidR="00B00B7F" w:rsidRDefault="00B00B7F" w:rsidP="00B00B7F">
      <w:r>
        <w:t xml:space="preserve">CARD is the only party that takes issue with the PFD’s adoption of SWEPCO’s adjustment to its reserve for accumulated depreciation to account for the actual depreciation rates </w:t>
      </w:r>
      <w:r>
        <w:lastRenderedPageBreak/>
        <w:t>previously ordered by the Commission.</w:t>
      </w:r>
      <w:r>
        <w:rPr>
          <w:rStyle w:val="FootnoteReference"/>
        </w:rPr>
        <w:footnoteReference w:id="300"/>
      </w:r>
      <w:r>
        <w:t xml:space="preserve">  At hearing, CARD abandoned the argument it originally set forth in its Direct Testimony that the adjustment was improper.</w:t>
      </w:r>
      <w:r>
        <w:rPr>
          <w:rStyle w:val="FootnoteReference"/>
        </w:rPr>
        <w:footnoteReference w:id="301"/>
      </w:r>
      <w:r>
        <w:t xml:space="preserve">  It now claims simply that SWEPCO failed to meet its burden to show that the resulting rates are just and reasonable.</w:t>
      </w:r>
      <w:r w:rsidR="00F121D0">
        <w:rPr>
          <w:rStyle w:val="FootnoteReference"/>
        </w:rPr>
        <w:footnoteReference w:id="302"/>
      </w:r>
      <w:r>
        <w:t xml:space="preserve">  However, CARD’s new claims are incorrect and should be rejected by the Commission.  The evidence in the case conclusively demonstrates that the adjustment is necessary to ensure that rates are proper.  Without the adjustment, SWEPCO’s depreciation rates will not allocate its assets’ cost over the assets’ applicable lives</w:t>
      </w:r>
      <w:r w:rsidR="00F4337B">
        <w:t>,</w:t>
      </w:r>
      <w:r>
        <w:t xml:space="preserve"> which is the entire rationale behind the concept of depreciation.</w:t>
      </w:r>
    </w:p>
    <w:p w14:paraId="6293FC7D" w14:textId="77777777" w:rsidR="00B00B7F" w:rsidRPr="00C616D0" w:rsidRDefault="00B00B7F" w:rsidP="00B00B7F">
      <w:pPr>
        <w:keepNext/>
      </w:pPr>
      <w:r w:rsidRPr="00C616D0">
        <w:t xml:space="preserve">As part of its depreciation study in the case, the Company adjusted its accumulated depreciation balance to reflect only the depreciation rates ordered by this Commission, instead of </w:t>
      </w:r>
      <w:r>
        <w:t xml:space="preserve">reflecting </w:t>
      </w:r>
      <w:r w:rsidRPr="00C616D0">
        <w:t xml:space="preserve">the composite depreciation rates ordered by all of the </w:t>
      </w:r>
      <w:r>
        <w:t xml:space="preserve">Company’s </w:t>
      </w:r>
      <w:r w:rsidRPr="00C616D0">
        <w:t>various jurisdictions (</w:t>
      </w:r>
      <w:r w:rsidRPr="00C616D0">
        <w:rPr>
          <w:i/>
        </w:rPr>
        <w:t>i.e.</w:t>
      </w:r>
      <w:r w:rsidRPr="00C616D0">
        <w:t>, Texas, Louisiana, Oklahoma, and FERC).</w:t>
      </w:r>
      <w:r>
        <w:rPr>
          <w:rStyle w:val="FootnoteReference"/>
        </w:rPr>
        <w:footnoteReference w:id="303"/>
      </w:r>
      <w:r w:rsidRPr="00C616D0">
        <w:t xml:space="preserve">  Mr. Davis, the Company </w:t>
      </w:r>
      <w:r>
        <w:t xml:space="preserve">depreciation expert and </w:t>
      </w:r>
      <w:r w:rsidRPr="00C616D0">
        <w:t xml:space="preserve">witness that conducted the depreciation study and sponsored the depreciation rates in the case, explained that the </w:t>
      </w:r>
      <w:r>
        <w:t xml:space="preserve">Texas </w:t>
      </w:r>
      <w:r w:rsidRPr="00C616D0">
        <w:t xml:space="preserve">adjustment </w:t>
      </w:r>
      <w:r>
        <w:t xml:space="preserve">to accumulated depreciation </w:t>
      </w:r>
      <w:r w:rsidRPr="00C616D0">
        <w:t xml:space="preserve">was necessary to properly allocate the </w:t>
      </w:r>
      <w:r>
        <w:t xml:space="preserve">remaining </w:t>
      </w:r>
      <w:r w:rsidRPr="00C616D0">
        <w:t>cost</w:t>
      </w:r>
      <w:r>
        <w:t xml:space="preserve"> (original cost less accumulated depreciation)</w:t>
      </w:r>
      <w:r w:rsidRPr="00C616D0">
        <w:t xml:space="preserve"> of the Company’s assets over their remaining life.</w:t>
      </w:r>
      <w:r>
        <w:rPr>
          <w:rStyle w:val="FootnoteReference"/>
        </w:rPr>
        <w:footnoteReference w:id="304"/>
      </w:r>
      <w:r w:rsidRPr="00C616D0">
        <w:t xml:space="preserve">  This allocation process is the entire point of </w:t>
      </w:r>
      <w:r>
        <w:t xml:space="preserve">straight line </w:t>
      </w:r>
      <w:r w:rsidRPr="00C616D0">
        <w:t>depreciation</w:t>
      </w:r>
      <w:r>
        <w:t>, which matches an asset’s cost to the accounting periods in which it is in service by determining</w:t>
      </w:r>
      <w:r w:rsidRPr="00C616D0">
        <w:t xml:space="preserve"> the rates that will spread the cost of a group of assets over their remaining useful lives.  No party disputes the fact that if the </w:t>
      </w:r>
      <w:r>
        <w:t xml:space="preserve">Texas </w:t>
      </w:r>
      <w:r w:rsidRPr="00C616D0">
        <w:t xml:space="preserve">adjustment is not made in this case, the remaining net book value of the Company’s assets </w:t>
      </w:r>
      <w:r>
        <w:t>would</w:t>
      </w:r>
      <w:r w:rsidRPr="00C616D0">
        <w:t xml:space="preserve"> be spread out over a period that is </w:t>
      </w:r>
      <w:r w:rsidRPr="00C616D0">
        <w:rPr>
          <w:i/>
        </w:rPr>
        <w:t>longer</w:t>
      </w:r>
      <w:r w:rsidRPr="00C616D0">
        <w:t xml:space="preserve"> than the assets’ useful lives.</w:t>
      </w:r>
      <w:r>
        <w:rPr>
          <w:rStyle w:val="FootnoteReference"/>
        </w:rPr>
        <w:footnoteReference w:id="305"/>
      </w:r>
    </w:p>
    <w:p w14:paraId="624A3C26" w14:textId="77777777" w:rsidR="00B00B7F" w:rsidRPr="00C616D0" w:rsidRDefault="00B00B7F" w:rsidP="00B00B7F">
      <w:r w:rsidRPr="00C616D0">
        <w:t xml:space="preserve">Until CARD filed its testimony in this case, this adjustment has not been particularly controversial.  It </w:t>
      </w:r>
      <w:r>
        <w:t>is routinely made by the Company’s affiliated utilities in other</w:t>
      </w:r>
      <w:r w:rsidRPr="00C616D0">
        <w:t xml:space="preserve"> jurisdictions and </w:t>
      </w:r>
      <w:r w:rsidRPr="00C616D0">
        <w:lastRenderedPageBreak/>
        <w:t>was included in the Company’s prior depreciation study that Mr. Davis performed in Docket No. 40443.</w:t>
      </w:r>
      <w:r>
        <w:rPr>
          <w:rStyle w:val="FootnoteReference"/>
        </w:rPr>
        <w:footnoteReference w:id="306"/>
      </w:r>
      <w:r w:rsidRPr="00C616D0">
        <w:t xml:space="preserve">  However, in this case, CARD decided to oppose the adjustment.  It first filed testimony claiming that the adjustment was not necessary because the “remaining life methodology” (</w:t>
      </w:r>
      <w:r w:rsidRPr="00C616D0">
        <w:rPr>
          <w:i/>
        </w:rPr>
        <w:t>i.e</w:t>
      </w:r>
      <w:r w:rsidRPr="00C616D0">
        <w:t>., the depreciation methodology that both Mr. Davis and CARD witness Mr.</w:t>
      </w:r>
      <w:r>
        <w:t> </w:t>
      </w:r>
      <w:r w:rsidRPr="00C616D0">
        <w:t>David Garrett used) automatically allocated assets’ net book value to the assets’ remaining useful lives without an explicit adjustment.</w:t>
      </w:r>
      <w:r>
        <w:rPr>
          <w:rStyle w:val="FootnoteReference"/>
        </w:rPr>
        <w:footnoteReference w:id="307"/>
      </w:r>
      <w:r w:rsidRPr="00C616D0">
        <w:t xml:space="preserve">  However, at hearing, CARD’s </w:t>
      </w:r>
      <w:proofErr w:type="gramStart"/>
      <w:r w:rsidRPr="00C616D0">
        <w:t>witness  admitted</w:t>
      </w:r>
      <w:proofErr w:type="gramEnd"/>
      <w:r w:rsidRPr="00C616D0">
        <w:t xml:space="preserve"> that the </w:t>
      </w:r>
      <w:r>
        <w:t xml:space="preserve">Texas </w:t>
      </w:r>
      <w:r w:rsidRPr="00C616D0">
        <w:t xml:space="preserve">adjustment was necessary to ensure that the assets’ cost would be spread over the assets’ remaining useful lives.  Mr. Garrett testified that he still opposed the adjustment, but that his reasons had changed.  Even though the adjustment is necessary to spread the cost of SWEPCO’s assets over their remaining useful lives, Mr. Garrett </w:t>
      </w:r>
      <w:r>
        <w:t xml:space="preserve">now </w:t>
      </w:r>
      <w:r w:rsidRPr="00C616D0">
        <w:t>claimed that the Company had not met is burden with respect to the adjustment and that the adjustment should not be made because SWEPCO’s rate increase should be mitigated.</w:t>
      </w:r>
      <w:r>
        <w:rPr>
          <w:rStyle w:val="FootnoteReference"/>
        </w:rPr>
        <w:footnoteReference w:id="308"/>
      </w:r>
    </w:p>
    <w:p w14:paraId="54F2577E" w14:textId="77777777" w:rsidR="00B00B7F" w:rsidRPr="00C616D0" w:rsidRDefault="00B00B7F" w:rsidP="00B00B7F">
      <w:r w:rsidRPr="00C616D0">
        <w:t>I</w:t>
      </w:r>
      <w:r>
        <w:t>n its Exceptions</w:t>
      </w:r>
      <w:r w:rsidRPr="00C616D0">
        <w:t xml:space="preserve">, CARD </w:t>
      </w:r>
      <w:r>
        <w:t>indicates that it has “re-evaluated” its position that SWEPCO’s accumulated depreciation adjustment is improper.</w:t>
      </w:r>
      <w:r w:rsidRPr="00C616D0">
        <w:t xml:space="preserve">  It now claims that the Company did not meet its “burden of proof” with respect to the adjustment because it did not indicate “how the allocated depreciation amounts” were calculated for “each plant” and “each FERC account.” </w:t>
      </w:r>
      <w:r>
        <w:t xml:space="preserve">In other words, it </w:t>
      </w:r>
      <w:r w:rsidRPr="00C616D0">
        <w:t>c</w:t>
      </w:r>
      <w:r>
        <w:t>omplains that S</w:t>
      </w:r>
      <w:r w:rsidRPr="00C616D0">
        <w:t xml:space="preserve">WEPCO </w:t>
      </w:r>
      <w:r>
        <w:t>did not provide a more “granular breakdown” of its adjustment.</w:t>
      </w:r>
      <w:r>
        <w:rPr>
          <w:rStyle w:val="FootnoteReference"/>
        </w:rPr>
        <w:footnoteReference w:id="309"/>
      </w:r>
      <w:r w:rsidRPr="00C616D0">
        <w:t xml:space="preserve">  </w:t>
      </w:r>
    </w:p>
    <w:p w14:paraId="701366DF" w14:textId="77777777" w:rsidR="00B00B7F" w:rsidRPr="00C616D0" w:rsidRDefault="00B00B7F" w:rsidP="00B00B7F">
      <w:r>
        <w:t xml:space="preserve">The ALJs properly rejected CARD’s new arguments.  In fact, they are as much in error as their earlier arguments </w:t>
      </w:r>
      <w:r w:rsidRPr="00C616D0">
        <w:t xml:space="preserve">and should </w:t>
      </w:r>
      <w:r>
        <w:t xml:space="preserve">also </w:t>
      </w:r>
      <w:r w:rsidRPr="00C616D0">
        <w:t xml:space="preserve">be rejected by the Commission.  </w:t>
      </w:r>
      <w:r>
        <w:t>Mr. Davis explained that</w:t>
      </w:r>
      <w:r w:rsidRPr="00C616D0">
        <w:t xml:space="preserve"> the </w:t>
      </w:r>
      <w:r>
        <w:t xml:space="preserve">Texas </w:t>
      </w:r>
      <w:r w:rsidRPr="00C616D0">
        <w:t xml:space="preserve">accumulated depreciation adjustment </w:t>
      </w:r>
      <w:r>
        <w:t>is calculated at a functional level</w:t>
      </w:r>
      <w:r w:rsidRPr="00C616D0">
        <w:t>.</w:t>
      </w:r>
      <w:r>
        <w:rPr>
          <w:rStyle w:val="FootnoteReference"/>
        </w:rPr>
        <w:footnoteReference w:id="310"/>
      </w:r>
      <w:r w:rsidRPr="00C616D0">
        <w:t xml:space="preserve">  </w:t>
      </w:r>
      <w:r>
        <w:t>Since t</w:t>
      </w:r>
      <w:r w:rsidRPr="00C616D0">
        <w:t xml:space="preserve">he necessary adjustment Mr. Davis made to the Accumulated Depreciation account was </w:t>
      </w:r>
      <w:r>
        <w:t xml:space="preserve">done at the functional level – </w:t>
      </w:r>
      <w:r w:rsidRPr="00C06B1D">
        <w:rPr>
          <w:i/>
        </w:rPr>
        <w:t>i.e</w:t>
      </w:r>
      <w:r>
        <w:t xml:space="preserve">., it was </w:t>
      </w:r>
      <w:r w:rsidRPr="00C616D0">
        <w:t>not made at the plant or FER</w:t>
      </w:r>
      <w:r>
        <w:t xml:space="preserve">C account level - he explained that, it </w:t>
      </w:r>
      <w:r>
        <w:lastRenderedPageBreak/>
        <w:t xml:space="preserve">was then </w:t>
      </w:r>
      <w:r w:rsidRPr="009D3E01">
        <w:rPr>
          <w:i/>
        </w:rPr>
        <w:t>allocated</w:t>
      </w:r>
      <w:r>
        <w:t xml:space="preserve"> to the plant and FERC account level using the theoretical reserve</w:t>
      </w:r>
      <w:r w:rsidRPr="00C616D0">
        <w:t>.</w:t>
      </w:r>
      <w:r>
        <w:rPr>
          <w:rStyle w:val="FootnoteReference"/>
        </w:rPr>
        <w:footnoteReference w:id="311"/>
      </w:r>
      <w:r w:rsidRPr="00C616D0">
        <w:t xml:space="preserve">  </w:t>
      </w:r>
      <w:r>
        <w:t xml:space="preserve">And, as pointed out by SWEPCO, the results of that allocation </w:t>
      </w:r>
      <w:proofErr w:type="gramStart"/>
      <w:r>
        <w:t>process,</w:t>
      </w:r>
      <w:proofErr w:type="gramEnd"/>
      <w:r>
        <w:t xml:space="preserve"> may be found in Mr. Davis’ depreciation study on Schedule I in column VII.</w:t>
      </w:r>
      <w:r>
        <w:rPr>
          <w:rStyle w:val="FootnoteReference"/>
        </w:rPr>
        <w:footnoteReference w:id="312"/>
      </w:r>
    </w:p>
    <w:p w14:paraId="335E5AA5" w14:textId="77777777" w:rsidR="00B00B7F" w:rsidRPr="00C616D0" w:rsidRDefault="00B00B7F" w:rsidP="00B00B7F">
      <w:r w:rsidRPr="00C616D0">
        <w:t>It is also noteworthy that this new argument raised by CARD was not included in its Direct Testimony and was only rai</w:t>
      </w:r>
      <w:r>
        <w:t>s</w:t>
      </w:r>
      <w:r w:rsidRPr="00C616D0">
        <w:t xml:space="preserve">ed in brief.  </w:t>
      </w:r>
      <w:r>
        <w:t>One would think that if the argument truly justified a $102.5 million reduction to the Company’s rate base, it would have been squarely raised by CARD in its direct case.  It is telling that CARD concocted this new theory, only after its witness acknowledged at hearing that the entire reason for CARD’s initial objection to the adjustment was incorrect.</w:t>
      </w:r>
      <w:r w:rsidRPr="00C616D0">
        <w:t xml:space="preserve">   </w:t>
      </w:r>
    </w:p>
    <w:p w14:paraId="45C8397E" w14:textId="77777777" w:rsidR="00B00B7F" w:rsidRPr="0023234A" w:rsidRDefault="00B00B7F" w:rsidP="00B00B7F">
      <w:r w:rsidRPr="0096270E">
        <w:t xml:space="preserve">The Company’s adjustment to its accumulated depreciation account is a routine adjustment made in this and other jurisdictions and is necessary to accomplish the purpose of depreciation:  to spread the cost of the Company’s assets over their remaining lives.  </w:t>
      </w:r>
      <w:r>
        <w:t xml:space="preserve">The PFD’s ruling on this issue is correct and </w:t>
      </w:r>
      <w:r w:rsidRPr="0096270E">
        <w:t>CARD’s “evolving” objections to the adjustment are wrong and should be rejected by the Commission.</w:t>
      </w:r>
    </w:p>
    <w:p w14:paraId="2D52708A" w14:textId="77777777" w:rsidR="00B00B7F" w:rsidRDefault="00B00B7F" w:rsidP="00B00B7F">
      <w:pPr>
        <w:pStyle w:val="Heading3"/>
      </w:pPr>
      <w:bookmarkStart w:id="40" w:name="_Toc497123832"/>
      <w:r w:rsidRPr="000F5BDC">
        <w:t>Production</w:t>
      </w:r>
      <w:r>
        <w:t xml:space="preserve"> Plant</w:t>
      </w:r>
      <w:bookmarkEnd w:id="40"/>
      <w:r>
        <w:t xml:space="preserve"> </w:t>
      </w:r>
    </w:p>
    <w:p w14:paraId="4EB428D6" w14:textId="77777777" w:rsidR="00B00B7F" w:rsidRPr="00EB3838" w:rsidRDefault="00B00B7F" w:rsidP="003A17DF">
      <w:pPr>
        <w:pStyle w:val="Heading4"/>
        <w:keepNext w:val="0"/>
        <w:numPr>
          <w:ilvl w:val="0"/>
          <w:numId w:val="30"/>
        </w:numPr>
      </w:pPr>
      <w:bookmarkStart w:id="41" w:name="_Toc497123833"/>
      <w:r>
        <w:t>Net Salvage/Demolition Study</w:t>
      </w:r>
      <w:bookmarkEnd w:id="41"/>
      <w:r>
        <w:t xml:space="preserve"> </w:t>
      </w:r>
    </w:p>
    <w:p w14:paraId="708F7740" w14:textId="77777777" w:rsidR="00B00B7F" w:rsidRDefault="00B00B7F" w:rsidP="003A17DF">
      <w:pPr>
        <w:pStyle w:val="Heading5"/>
        <w:keepNext w:val="0"/>
        <w:widowControl/>
        <w:numPr>
          <w:ilvl w:val="0"/>
          <w:numId w:val="27"/>
        </w:numPr>
        <w:spacing w:after="120"/>
      </w:pPr>
      <w:bookmarkStart w:id="42" w:name="_Toc497123834"/>
      <w:r w:rsidRPr="006A51B5">
        <w:t>Demolition Cost Estimates</w:t>
      </w:r>
      <w:bookmarkEnd w:id="42"/>
      <w:r w:rsidRPr="006A51B5">
        <w:t xml:space="preserve"> </w:t>
      </w:r>
    </w:p>
    <w:p w14:paraId="4ADEC677" w14:textId="77777777" w:rsidR="00B00B7F" w:rsidRPr="00C616D0" w:rsidRDefault="00B00B7F" w:rsidP="00B00B7F">
      <w:pPr>
        <w:keepNext/>
      </w:pPr>
      <w:r w:rsidRPr="00C616D0">
        <w:t xml:space="preserve">CARD </w:t>
      </w:r>
      <w:r>
        <w:t xml:space="preserve">takes exception to the PFD’s adoption of the net salvage results of SWEPCO’s demolition study.  It erroneously </w:t>
      </w:r>
      <w:r w:rsidRPr="00C616D0">
        <w:t>claim</w:t>
      </w:r>
      <w:r>
        <w:t>s</w:t>
      </w:r>
      <w:r w:rsidRPr="00C616D0">
        <w:t xml:space="preserve"> </w:t>
      </w:r>
      <w:r>
        <w:t>that the study</w:t>
      </w:r>
      <w:r w:rsidRPr="00C616D0">
        <w:t xml:space="preserve"> d</w:t>
      </w:r>
      <w:r>
        <w:t>id</w:t>
      </w:r>
      <w:r w:rsidRPr="00C616D0">
        <w:t xml:space="preserve"> not consider less costly and more realistic alternatives to the demolition of the production plant</w:t>
      </w:r>
      <w:r>
        <w:t>s</w:t>
      </w:r>
      <w:r>
        <w:rPr>
          <w:rStyle w:val="FootnoteReference"/>
        </w:rPr>
        <w:footnoteReference w:id="313"/>
      </w:r>
      <w:r w:rsidRPr="00C616D0">
        <w:t xml:space="preserve">  </w:t>
      </w:r>
      <w:r>
        <w:t xml:space="preserve">However, all of the arguments CARD advances in this regard </w:t>
      </w:r>
      <w:r w:rsidRPr="00983221">
        <w:t xml:space="preserve">were also raised – </w:t>
      </w:r>
      <w:r w:rsidRPr="00983221">
        <w:rPr>
          <w:i/>
        </w:rPr>
        <w:t>and decided</w:t>
      </w:r>
      <w:r>
        <w:rPr>
          <w:i/>
        </w:rPr>
        <w:t xml:space="preserve"> by the Commission</w:t>
      </w:r>
      <w:r w:rsidRPr="00983221">
        <w:t xml:space="preserve"> – in SWEPCO’s last rate case, Docket No. 40443.</w:t>
      </w:r>
      <w:r>
        <w:t xml:space="preserve">  The ALJs in this proceeding rejected these erroneous arguments yet again, and the Commission should as well. </w:t>
      </w:r>
    </w:p>
    <w:p w14:paraId="5F709294" w14:textId="77777777" w:rsidR="00B00B7F" w:rsidRPr="0006207F" w:rsidRDefault="00B00B7F" w:rsidP="00B00B7F">
      <w:r>
        <w:t>I</w:t>
      </w:r>
      <w:r w:rsidRPr="0006207F">
        <w:t xml:space="preserve">n order to determine the net salvage values for its production plants, SWEPCO retained a qualified independent engineering firm, Sargent &amp; Lundy (S&amp;L), to perform a demolition cost </w:t>
      </w:r>
      <w:r w:rsidRPr="0006207F">
        <w:lastRenderedPageBreak/>
        <w:t>estimate for each of SWEPCO’s generating plants.  SWEPCO witness Mr. Thomas Meehan oversaw this study and sponsored this estimate.</w:t>
      </w:r>
      <w:r>
        <w:rPr>
          <w:rStyle w:val="FootnoteReference"/>
        </w:rPr>
        <w:footnoteReference w:id="314"/>
      </w:r>
      <w:r w:rsidRPr="0006207F">
        <w:t xml:space="preserve">  The S&amp;L demolition cost estimates provided the net cost to remove each generating plant stated in 2016 dollars.</w:t>
      </w:r>
      <w:r w:rsidR="00B602BF">
        <w:rPr>
          <w:rStyle w:val="FootnoteReference"/>
        </w:rPr>
        <w:footnoteReference w:id="315"/>
      </w:r>
      <w:r w:rsidRPr="0006207F">
        <w:t xml:space="preserve">  After obtaining S&amp;L’s net</w:t>
      </w:r>
      <w:r>
        <w:t xml:space="preserve"> </w:t>
      </w:r>
      <w:r w:rsidRPr="0006207F">
        <w:t>production salvage amounts as of December 31, 2016, Mr. Davis then adjusted (</w:t>
      </w:r>
      <w:r w:rsidRPr="008C6052">
        <w:rPr>
          <w:i/>
        </w:rPr>
        <w:t>i.e.</w:t>
      </w:r>
      <w:r w:rsidRPr="0006207F">
        <w:t>, escalated) the costs to reflect the values that would apply at the end of the expected life of each plant.</w:t>
      </w:r>
      <w:r w:rsidR="00B602BF">
        <w:rPr>
          <w:rStyle w:val="FootnoteReference"/>
        </w:rPr>
        <w:footnoteReference w:id="316"/>
      </w:r>
      <w:r w:rsidRPr="0006207F">
        <w:t xml:space="preserve">   </w:t>
      </w:r>
    </w:p>
    <w:p w14:paraId="7CB41F50" w14:textId="77777777" w:rsidR="00B00B7F" w:rsidRPr="0006207F" w:rsidRDefault="00B00B7F" w:rsidP="00B00B7F">
      <w:r w:rsidRPr="0006207F">
        <w:t>The overall terminal net salvage percentage sought by SWEPCO for its generating plants in this proceeding is negative 6%.</w:t>
      </w:r>
      <w:r w:rsidR="00B602BF">
        <w:rPr>
          <w:rStyle w:val="FootnoteReference"/>
        </w:rPr>
        <w:footnoteReference w:id="317"/>
      </w:r>
      <w:r w:rsidRPr="0006207F">
        <w:t xml:space="preserve">  On its face, this overall net salvage percent is reasonable.  Moreover, it is based on empirical data for SWEPCO’s power plants, and not on some generic value or historic ratio.</w:t>
      </w:r>
      <w:r w:rsidR="00B602BF">
        <w:rPr>
          <w:rStyle w:val="FootnoteReference"/>
        </w:rPr>
        <w:footnoteReference w:id="318"/>
      </w:r>
      <w:r w:rsidRPr="0006207F">
        <w:t xml:space="preserve">  Further, in SWEPCO’s last rate case, Docket No. 40443, the Commission approved a similar demolition study performed by S&amp;L as a means of determining SWEPCO’</w:t>
      </w:r>
      <w:r>
        <w:t>s terminal net salvage values.</w:t>
      </w:r>
      <w:r w:rsidR="00B602BF">
        <w:rPr>
          <w:rStyle w:val="FootnoteReference"/>
        </w:rPr>
        <w:footnoteReference w:id="319"/>
      </w:r>
      <w:r>
        <w:t xml:space="preserve"> </w:t>
      </w:r>
      <w:r w:rsidRPr="0006207F">
        <w:t xml:space="preserve">  </w:t>
      </w:r>
    </w:p>
    <w:p w14:paraId="25224151" w14:textId="77777777" w:rsidR="00B00B7F" w:rsidRPr="0006207F" w:rsidRDefault="00B00B7F" w:rsidP="00B00B7F">
      <w:r w:rsidRPr="0006207F">
        <w:t xml:space="preserve">Arguments made by </w:t>
      </w:r>
      <w:r>
        <w:t>CARD in its Exceptions r</w:t>
      </w:r>
      <w:r w:rsidRPr="0006207F">
        <w:t xml:space="preserve">egarding the general uncertainty of the S&amp;L demolition costs estimates </w:t>
      </w:r>
      <w:r>
        <w:t xml:space="preserve">are erroneous and </w:t>
      </w:r>
      <w:r w:rsidRPr="0006207F">
        <w:t xml:space="preserve">should be rejected </w:t>
      </w:r>
      <w:r>
        <w:t xml:space="preserve">again </w:t>
      </w:r>
      <w:r w:rsidRPr="0006207F">
        <w:t>by this Commission.  These demolition cost estimates form part of the empirical approach to production net salvage that SWEPCO has employed (and that this Commission has approved) that produces a reasonable expected cost to remove each power plant at the end of its useful life.  The engineering analyses performed by S&amp;L constitute a substantial quantitative basis for the production net salvage calculation.  Also, dismantling a generating station at the end of its useful life is in the public interest since retired plants present a safety concern and a potential public risk without proper maintenance and security.  Abandoned structures that are not dismantled or regularly maintained will deteriorate.  Some structures, such as stacks, can weaken over time and ultimately collapse.</w:t>
      </w:r>
      <w:r>
        <w:rPr>
          <w:rStyle w:val="FootnoteReference"/>
        </w:rPr>
        <w:footnoteReference w:id="320"/>
      </w:r>
      <w:r w:rsidRPr="0006207F">
        <w:t xml:space="preserve"> </w:t>
      </w:r>
    </w:p>
    <w:p w14:paraId="2E3080A4" w14:textId="77777777" w:rsidR="00B00B7F" w:rsidRPr="0006207F" w:rsidRDefault="00B00B7F" w:rsidP="00B00B7F">
      <w:r>
        <w:t>CARD</w:t>
      </w:r>
      <w:r w:rsidRPr="0006207F">
        <w:t xml:space="preserve"> also claim</w:t>
      </w:r>
      <w:r>
        <w:t>s</w:t>
      </w:r>
      <w:r w:rsidRPr="0006207F">
        <w:t xml:space="preserve"> that there is no need to consider demolition costs because a plant may </w:t>
      </w:r>
      <w:r w:rsidRPr="0006207F">
        <w:lastRenderedPageBreak/>
        <w:t>be repowered.  However, it is unclear how repowering a generating plant would offset the cost of eventually removing the plant.  The cost of repowering a plant could benefit future customers but current and future customers who benefit from the power generated by the plant should pay for its eventual dismantling cost.</w:t>
      </w:r>
      <w:r>
        <w:rPr>
          <w:rStyle w:val="FootnoteReference"/>
        </w:rPr>
        <w:footnoteReference w:id="321"/>
      </w:r>
      <w:r w:rsidRPr="0006207F">
        <w:t xml:space="preserve"> </w:t>
      </w:r>
    </w:p>
    <w:p w14:paraId="15C3E09B" w14:textId="77777777" w:rsidR="00B00B7F" w:rsidRPr="0006207F" w:rsidRDefault="00B00B7F" w:rsidP="00B00B7F">
      <w:r w:rsidRPr="0006207F">
        <w:t>A plant sale is also an unlikely alternative, since there is not always an active market for power plants or power plant equipment at the end of their useful lives.  More often than not, when an owner has decided to let a facility run to the end of life, it establishes a shutdown schedule and then allows the facility to operate with minimal maintenance expenditures while meeting acceptable reliability standards.  This approach results in further degradation of already worn and potentially obsolete equipment, which minimizes its usefulness.</w:t>
      </w:r>
      <w:r>
        <w:rPr>
          <w:rStyle w:val="FootnoteReference"/>
        </w:rPr>
        <w:footnoteReference w:id="322"/>
      </w:r>
      <w:r w:rsidRPr="0006207F">
        <w:t xml:space="preserve"> </w:t>
      </w:r>
    </w:p>
    <w:p w14:paraId="168C69A9" w14:textId="77777777" w:rsidR="00B00B7F" w:rsidRDefault="00B00B7F" w:rsidP="00B00B7F">
      <w:r>
        <w:t>CARD also</w:t>
      </w:r>
      <w:r w:rsidRPr="0006207F">
        <w:t xml:space="preserve"> argue</w:t>
      </w:r>
      <w:r>
        <w:t>s</w:t>
      </w:r>
      <w:r w:rsidRPr="0006207F">
        <w:t xml:space="preserve"> that salvaged equipment and materials may be resold.  Mr. Meehan’s demolition study does in fact make reasonable allowance for sale of scrap. Beyond that, however, from past experience, the resale of salvaged equipment and materials from dem</w:t>
      </w:r>
      <w:r>
        <w:t>olition activities is unlikely</w:t>
      </w:r>
      <w:r w:rsidRPr="0006207F">
        <w:t>.  An active market does not always exist for used power plant equipment from plants that are demolished at the end of their useful lives.  Quite often</w:t>
      </w:r>
      <w:r>
        <w:t>,</w:t>
      </w:r>
      <w:r w:rsidRPr="0006207F">
        <w:t xml:space="preserve"> advances in technology produce equipment in the market that is more efficient than equipment that exists in older facilities.</w:t>
      </w:r>
      <w:r>
        <w:rPr>
          <w:rStyle w:val="FootnoteReference"/>
        </w:rPr>
        <w:footnoteReference w:id="323"/>
      </w:r>
      <w:r w:rsidRPr="0006207F">
        <w:t xml:space="preserve">  In addition, plant equipment often degrades over time with use and no longer performs as efficiently as it did when it was originally installed.  Even if the used equipment had some available life, the added cost and risk to a buyer to properly disassemble, safely transport, properly reassemble, and decommission the equipment without any equipment warrantee or performance guarantee is not a sound investment to a buyer or a reliable source of revenue to a seller.</w:t>
      </w:r>
      <w:r>
        <w:rPr>
          <w:rStyle w:val="FootnoteReference"/>
        </w:rPr>
        <w:footnoteReference w:id="324"/>
      </w:r>
      <w:r w:rsidRPr="0006207F">
        <w:t xml:space="preserve"> </w:t>
      </w:r>
    </w:p>
    <w:p w14:paraId="23BE3996" w14:textId="77777777" w:rsidR="00B00B7F" w:rsidRDefault="00B00B7F" w:rsidP="00B00B7F">
      <w:r>
        <w:t xml:space="preserve">ETEC </w:t>
      </w:r>
      <w:proofErr w:type="gramStart"/>
      <w:r w:rsidRPr="0023234A">
        <w:t>excepts</w:t>
      </w:r>
      <w:proofErr w:type="gramEnd"/>
      <w:r w:rsidRPr="0023234A">
        <w:t xml:space="preserve"> to the PFD’s recommendation to adopt the results of S&amp;L’s demolition study based on </w:t>
      </w:r>
      <w:r>
        <w:t xml:space="preserve">its objection to </w:t>
      </w:r>
      <w:r w:rsidRPr="0023234A">
        <w:t xml:space="preserve">the </w:t>
      </w:r>
      <w:r>
        <w:t xml:space="preserve">level of </w:t>
      </w:r>
      <w:r w:rsidRPr="0023234A">
        <w:t xml:space="preserve">scrap metal prices </w:t>
      </w:r>
      <w:r>
        <w:t xml:space="preserve">at the time </w:t>
      </w:r>
      <w:r w:rsidRPr="0023234A">
        <w:t xml:space="preserve">Mr. Meehan </w:t>
      </w:r>
      <w:r>
        <w:t>conducted</w:t>
      </w:r>
      <w:r w:rsidRPr="0023234A">
        <w:t xml:space="preserve"> </w:t>
      </w:r>
      <w:r>
        <w:lastRenderedPageBreak/>
        <w:t>the</w:t>
      </w:r>
      <w:r w:rsidRPr="0023234A">
        <w:t xml:space="preserve"> demolition study.</w:t>
      </w:r>
      <w:r>
        <w:rPr>
          <w:rStyle w:val="FootnoteReference"/>
        </w:rPr>
        <w:footnoteReference w:id="325"/>
      </w:r>
      <w:r w:rsidRPr="0023234A">
        <w:t xml:space="preserve">  However, as Mr. Meehan explained in testimony, the study itself measures a number of variables as of a specific point in time – </w:t>
      </w:r>
      <w:r w:rsidRPr="00E23C2A">
        <w:rPr>
          <w:i/>
        </w:rPr>
        <w:t>i.e.</w:t>
      </w:r>
      <w:r w:rsidRPr="0023234A">
        <w:t xml:space="preserve">, December 31, 2016.  It is therefore a snapshot in time with all the values reflecting the same date.  </w:t>
      </w:r>
      <w:r>
        <w:t>It would have been improper if S&amp;L had “cherry-picked” differing price levels for various items based on different dates when it conducted its study, and it is improper for ETEC to do the same.  But that is exactly what ETEC witness Mr. Cook did.  H</w:t>
      </w:r>
      <w:r w:rsidRPr="0023234A">
        <w:t>e “cherry-pick</w:t>
      </w:r>
      <w:r>
        <w:t>ed</w:t>
      </w:r>
      <w:r w:rsidRPr="0023234A">
        <w:t>” one element of the study – scrap metal prices - to adjust without consideration of all the other elements of the study.</w:t>
      </w:r>
      <w:r>
        <w:rPr>
          <w:rStyle w:val="FootnoteReference"/>
        </w:rPr>
        <w:footnoteReference w:id="326"/>
      </w:r>
      <w:r w:rsidRPr="0023234A">
        <w:t xml:space="preserve">  Given that a demolition cost estimate represents a “snapshot” and is performed at a given point of time, it would be </w:t>
      </w:r>
      <w:r>
        <w:t>in</w:t>
      </w:r>
      <w:r w:rsidRPr="0023234A">
        <w:t>appropriate to update scrap metal prices and apply it to the demolition studies without simultaneously updating the entire study, including pricing and labor rates and changes in the facilities.</w:t>
      </w:r>
      <w:r w:rsidR="00DC67C2">
        <w:rPr>
          <w:rStyle w:val="FootnoteReference"/>
        </w:rPr>
        <w:footnoteReference w:id="327"/>
      </w:r>
    </w:p>
    <w:p w14:paraId="53B3E404" w14:textId="77777777" w:rsidR="00B00B7F" w:rsidRDefault="00B00B7F" w:rsidP="00B00B7F">
      <w:pPr>
        <w:pStyle w:val="Heading5"/>
        <w:keepNext w:val="0"/>
        <w:widowControl/>
        <w:spacing w:after="0"/>
      </w:pPr>
      <w:bookmarkStart w:id="43" w:name="_Toc497123835"/>
      <w:r w:rsidRPr="002C52F6">
        <w:t>Contingency Factor</w:t>
      </w:r>
      <w:bookmarkEnd w:id="43"/>
    </w:p>
    <w:p w14:paraId="373F53F5" w14:textId="77777777" w:rsidR="00B00B7F" w:rsidRDefault="00B00B7F" w:rsidP="00B00B7F">
      <w:r w:rsidRPr="00EE4A20">
        <w:t>CARD</w:t>
      </w:r>
      <w:r>
        <w:t xml:space="preserve"> and ETEC both except to the PFD’s adoption of the Company’s demolition study results based on their objection to Mr. Meehan’s inclusion of a 15 percent contingency factor. CARD proposes to remove the contingency factor altogether</w:t>
      </w:r>
      <w:r>
        <w:rPr>
          <w:rStyle w:val="FootnoteReference"/>
        </w:rPr>
        <w:footnoteReference w:id="328"/>
      </w:r>
      <w:r>
        <w:t xml:space="preserve"> while ETEC seeks to limit it to 10 percent.</w:t>
      </w:r>
      <w:r>
        <w:rPr>
          <w:rStyle w:val="FootnoteReference"/>
        </w:rPr>
        <w:footnoteReference w:id="329"/>
      </w:r>
      <w:r>
        <w:t xml:space="preserve">  However, these arguments are not new, despite both parties claims to the contrary in their Exceptions.  They were considered and rejected in SWEPCO’s last rate case, Docket No. 40443.  The ALJs in this proceeding rejected them yet again and the Commission should as well.  </w:t>
      </w:r>
    </w:p>
    <w:p w14:paraId="1384A411" w14:textId="77777777" w:rsidR="00B00B7F" w:rsidRPr="00EE4A20" w:rsidRDefault="00B00B7F" w:rsidP="00B00B7F">
      <w:r>
        <w:t xml:space="preserve">CARD’s arguments that a contingency factor is improper because the </w:t>
      </w:r>
      <w:r w:rsidRPr="00446D6B">
        <w:t xml:space="preserve">demolition costs </w:t>
      </w:r>
      <w:r>
        <w:t xml:space="preserve">themselves </w:t>
      </w:r>
      <w:r w:rsidRPr="00446D6B">
        <w:t xml:space="preserve">are uncertain </w:t>
      </w:r>
      <w:r>
        <w:t xml:space="preserve">are erroneous and were addressed </w:t>
      </w:r>
      <w:r w:rsidRPr="00EE4A20">
        <w:t>earlier in this section</w:t>
      </w:r>
      <w:r>
        <w:t>.  A</w:t>
      </w:r>
      <w:r w:rsidRPr="00EE4A20">
        <w:t>s Mr.</w:t>
      </w:r>
      <w:r>
        <w:t> </w:t>
      </w:r>
      <w:r w:rsidRPr="00EE4A20">
        <w:t>Meehan testified, cost estimates for virtually all contract work in all industries typically i</w:t>
      </w:r>
      <w:r>
        <w:t xml:space="preserve">nclude some kind of contingency and it would be inappropriate not to include on in this cost </w:t>
      </w:r>
      <w:r>
        <w:lastRenderedPageBreak/>
        <w:t>estimate.</w:t>
      </w:r>
      <w:r>
        <w:rPr>
          <w:rStyle w:val="FootnoteReference"/>
        </w:rPr>
        <w:footnoteReference w:id="330"/>
      </w:r>
      <w:r w:rsidRPr="00EE4A20">
        <w:t xml:space="preserve">  </w:t>
      </w:r>
    </w:p>
    <w:p w14:paraId="6296CD48" w14:textId="77777777" w:rsidR="00B00B7F" w:rsidRPr="00EE4A20" w:rsidRDefault="00B00B7F" w:rsidP="00B00B7F">
      <w:r w:rsidRPr="00EE4A20">
        <w:t xml:space="preserve">Mr. Meehan </w:t>
      </w:r>
      <w:r>
        <w:t xml:space="preserve">also </w:t>
      </w:r>
      <w:r w:rsidRPr="00EE4A20">
        <w:t xml:space="preserve">explained </w:t>
      </w:r>
      <w:r>
        <w:t xml:space="preserve">the </w:t>
      </w:r>
      <w:r w:rsidRPr="00EE4A20">
        <w:t>numerous reasons why it is appropriate to include contingency factors in demolition cost estimates.  One reason is that improvements in technology, changes in plant operating approach, and the degradation of plant equipment cause power plant configurations to evolve over the life of the facility.</w:t>
      </w:r>
      <w:r>
        <w:rPr>
          <w:rStyle w:val="FootnoteReference"/>
        </w:rPr>
        <w:footnoteReference w:id="331"/>
      </w:r>
      <w:r w:rsidRPr="00EE4A20">
        <w:t xml:space="preserve">  A demolition study, however, must be performed at a given point in time at which it is not possible to anticipate with precision all the ways a plant will be modified over time as a result of this dynamic.  Since the nature and scope of future plant configuration changes are not clearly defined at this time, positive contingencies in demolition cost estimates are necessary to account for the increases in plant facilities that will occur between the time that the cost estimates are developed and the end of life of the facility.</w:t>
      </w:r>
      <w:r>
        <w:rPr>
          <w:rStyle w:val="FootnoteReference"/>
        </w:rPr>
        <w:footnoteReference w:id="332"/>
      </w:r>
      <w:r w:rsidRPr="00EE4A20">
        <w:t xml:space="preserve">  </w:t>
      </w:r>
    </w:p>
    <w:p w14:paraId="4E4E2A55" w14:textId="77777777" w:rsidR="00B00B7F" w:rsidRPr="00EE4A20" w:rsidRDefault="00B00B7F" w:rsidP="00B00B7F">
      <w:r>
        <w:t>Intervenors</w:t>
      </w:r>
      <w:r w:rsidRPr="00EE4A20">
        <w:t xml:space="preserve"> claim the amount of the contingency is “arbitrary” is also factually incorrect.  Mr. Meehan explained that the extent of this positive contingency should vary depending on the nature and level of detail in the cost estimate.  For example, a high-level conceptual cost estimate with limited scope definition would have a relatively large contingency of 30% or greater, because the unknowns in this type of estimate are relatively large.  A much more detailed cost estimate that includes actual budgetary or detailed bids from vendors and contractors would have a smaller contingency, because the scope of work would be more clearly defined.  The S&amp;L demolition cost estimates in this case are between these two levels of cost estimating effort and employ a contingency value of 15%.  In fact, according to Mr. Meehan, it would not be uncommon to use a contingency factor greater than 15% for these types of cost estimates.</w:t>
      </w:r>
      <w:r>
        <w:rPr>
          <w:rStyle w:val="FootnoteReference"/>
        </w:rPr>
        <w:footnoteReference w:id="333"/>
      </w:r>
      <w:r w:rsidRPr="00EE4A20">
        <w:t xml:space="preserve">   </w:t>
      </w:r>
    </w:p>
    <w:p w14:paraId="27BADD4A" w14:textId="77777777" w:rsidR="00B00B7F" w:rsidRPr="00EE4A20" w:rsidRDefault="00B00B7F" w:rsidP="00B00B7F">
      <w:r w:rsidRPr="00EE4A20">
        <w:t xml:space="preserve">ETEC’s recommendation to use a 10% contingency factor in the calculation rather than the 15% level used by Mr. Meehan is also inappropriate.  </w:t>
      </w:r>
      <w:r>
        <w:t xml:space="preserve">ETEC witness </w:t>
      </w:r>
      <w:r w:rsidRPr="00EE4A20">
        <w:t>Mr. Cook base</w:t>
      </w:r>
      <w:r>
        <w:t>d</w:t>
      </w:r>
      <w:r w:rsidRPr="00EE4A20">
        <w:t xml:space="preserve"> his argument on a 1998 Commission rate case involving nuclear decommissioning costs that </w:t>
      </w:r>
      <w:r w:rsidRPr="00EE4A20">
        <w:lastRenderedPageBreak/>
        <w:t>specified a 10% contingency factor.</w:t>
      </w:r>
      <w:r>
        <w:rPr>
          <w:rStyle w:val="FootnoteReference"/>
        </w:rPr>
        <w:footnoteReference w:id="334"/>
      </w:r>
      <w:r w:rsidRPr="00EE4A20">
        <w:t xml:space="preserve">  However, as discussed above, Mr. Meehan explained the 15% contingency factor was appropriate given the level of detail required for an estimate of demolition costs for SWEPCO’s plants that would not be retired for many years.</w:t>
      </w:r>
      <w:r>
        <w:rPr>
          <w:rStyle w:val="FootnoteReference"/>
        </w:rPr>
        <w:footnoteReference w:id="335"/>
      </w:r>
      <w:r w:rsidRPr="00EE4A20">
        <w:t xml:space="preserve">  Further, the same arguments regarding the recommended 10% contingency level were made in SWEPCO’s last rate case, Docket No. 40443, including references to the same 1998 nuclear decommissioning case, and they were rejected by the Commission.</w:t>
      </w:r>
      <w:r>
        <w:rPr>
          <w:rStyle w:val="FootnoteReference"/>
        </w:rPr>
        <w:footnoteReference w:id="336"/>
      </w:r>
      <w:r w:rsidRPr="00EE4A20">
        <w:t xml:space="preserve">  </w:t>
      </w:r>
    </w:p>
    <w:p w14:paraId="46C834A0" w14:textId="77777777" w:rsidR="00B00B7F" w:rsidRPr="00EE4A20" w:rsidRDefault="00B00B7F" w:rsidP="00B00B7F">
      <w:r w:rsidRPr="00EE4A20">
        <w:t>It is also noteworthy that, although ETEC cites a 1998 nuclear decommissioning case for the proposition that the Commission’s “policy” is to limit contingency factors to 10 percent, that is clearly not the case</w:t>
      </w:r>
      <w:r>
        <w:t xml:space="preserve"> since those </w:t>
      </w:r>
      <w:r w:rsidRPr="00EE4A20">
        <w:t>arguments were also raised and disposed of in SWEPCO’s prior rate case:</w:t>
      </w:r>
    </w:p>
    <w:p w14:paraId="0997C8AD" w14:textId="77777777" w:rsidR="00B00B7F" w:rsidRDefault="00B00B7F" w:rsidP="00463C8C">
      <w:pPr>
        <w:spacing w:line="240" w:lineRule="auto"/>
        <w:ind w:left="720" w:right="720" w:firstLine="0"/>
      </w:pPr>
      <w:r w:rsidRPr="00EE4A20">
        <w:t>Mr. Pous argued that the 15% contingency factor is higher than the 10% contingency factor used for nuclear plant decommissioning cost estimates.  In response, Mr. Bertheau pointed out that Mr. Pous had not considered the context in which the nuclear plant decommissioning study 10% factor was specified.  Without this context, Mr. Bertheau stated, a valid comparison between the two contingency factors could not be made.</w:t>
      </w:r>
      <w:r>
        <w:rPr>
          <w:rStyle w:val="FootnoteReference"/>
        </w:rPr>
        <w:footnoteReference w:id="337"/>
      </w:r>
    </w:p>
    <w:p w14:paraId="1EFA5391" w14:textId="77777777" w:rsidR="00B00B7F" w:rsidRDefault="00B00B7F" w:rsidP="00B00B7F">
      <w:pPr>
        <w:spacing w:line="240" w:lineRule="auto"/>
        <w:ind w:left="1440" w:right="720" w:firstLine="0"/>
      </w:pPr>
    </w:p>
    <w:p w14:paraId="0464966E" w14:textId="77777777" w:rsidR="00B00B7F" w:rsidRDefault="00B00B7F" w:rsidP="00B00B7F">
      <w:pPr>
        <w:pStyle w:val="Heading5"/>
        <w:keepNext w:val="0"/>
        <w:widowControl/>
        <w:spacing w:after="0"/>
      </w:pPr>
      <w:bookmarkStart w:id="44" w:name="_Toc497123836"/>
      <w:r w:rsidRPr="003A2512">
        <w:t>Escalation Factor</w:t>
      </w:r>
      <w:bookmarkEnd w:id="44"/>
    </w:p>
    <w:p w14:paraId="21EBA8A5" w14:textId="77777777" w:rsidR="00B00B7F" w:rsidRPr="0006207F" w:rsidRDefault="00B00B7F" w:rsidP="00B00B7F">
      <w:r>
        <w:t xml:space="preserve">CARD and ETEC except to the PFD’s adoption of the results of S&amp;L’s demolition study on the erroneous grounds that it was improper for </w:t>
      </w:r>
      <w:r w:rsidRPr="0006207F">
        <w:t xml:space="preserve">Mr. Davis’ </w:t>
      </w:r>
      <w:r>
        <w:t xml:space="preserve">to use </w:t>
      </w:r>
      <w:r w:rsidRPr="0006207F">
        <w:t>an escalation factor to bring 2016 demolition costs amounts to th</w:t>
      </w:r>
      <w:r>
        <w:t>eir terminal values.</w:t>
      </w:r>
      <w:r>
        <w:rPr>
          <w:rStyle w:val="FootnoteReference"/>
        </w:rPr>
        <w:footnoteReference w:id="338"/>
      </w:r>
      <w:r>
        <w:t xml:space="preserve">  The Intervenors make</w:t>
      </w:r>
      <w:r w:rsidRPr="004E7233">
        <w:t xml:space="preserve"> two incorrect claims: that it is inappropriate to escalate a cost that is likely over-stated and a “technical argument” that it is improper not to discount the future demolition cost. </w:t>
      </w:r>
      <w:r w:rsidR="00DC67C2">
        <w:t xml:space="preserve"> </w:t>
      </w:r>
      <w:r>
        <w:t>Staff objects to the level of the escalation rate and argues in its Exceptions that the rate should not exceed 2 percent.</w:t>
      </w:r>
      <w:r>
        <w:rPr>
          <w:rStyle w:val="FootnoteReference"/>
        </w:rPr>
        <w:footnoteReference w:id="339"/>
      </w:r>
      <w:r>
        <w:t xml:space="preserve">  </w:t>
      </w:r>
    </w:p>
    <w:p w14:paraId="68B17BA2" w14:textId="77777777" w:rsidR="00B00B7F" w:rsidRPr="0006207F" w:rsidRDefault="00B00B7F" w:rsidP="00B00B7F">
      <w:r>
        <w:t>However, as explained above, Intervenors provide no support for its</w:t>
      </w:r>
      <w:r w:rsidRPr="0006207F">
        <w:t xml:space="preserve"> contention that SWEPCO’s demolition cost is overstated.  </w:t>
      </w:r>
      <w:r>
        <w:t xml:space="preserve">In fact, CARD readily admitted in its Exceptions that </w:t>
      </w:r>
      <w:r>
        <w:lastRenderedPageBreak/>
        <w:t>it “does not propose any specific adjustments be made.”</w:t>
      </w:r>
      <w:r>
        <w:rPr>
          <w:rStyle w:val="FootnoteReference"/>
        </w:rPr>
        <w:footnoteReference w:id="340"/>
      </w:r>
      <w:r>
        <w:t xml:space="preserve">  </w:t>
      </w:r>
      <w:r w:rsidRPr="0006207F">
        <w:t>S&amp;L’s demolition cost estimates were consistently prepared and include prudent industry practices as explained by Company witness Meehan.  S&amp;L has experience with demolishing parts of existing facilities to modify plant configurations for accommodating new equipment.</w:t>
      </w:r>
      <w:r>
        <w:rPr>
          <w:rStyle w:val="FootnoteReference"/>
        </w:rPr>
        <w:footnoteReference w:id="341"/>
      </w:r>
      <w:r w:rsidRPr="0006207F">
        <w:t xml:space="preserve">   </w:t>
      </w:r>
      <w:r w:rsidR="002F4F74">
        <w:t>The Commission’s</w:t>
      </w:r>
      <w:r w:rsidRPr="0006207F">
        <w:t xml:space="preserve"> order in SWEPCO’s last rate case, Docket No. 40443, Finding of Fact number 193, stated:</w:t>
      </w:r>
    </w:p>
    <w:p w14:paraId="7BE0F0CE" w14:textId="77777777" w:rsidR="00B00B7F" w:rsidRDefault="00B00B7F" w:rsidP="00463C8C">
      <w:pPr>
        <w:spacing w:line="240" w:lineRule="auto"/>
        <w:ind w:left="720" w:right="720" w:firstLine="0"/>
      </w:pPr>
      <w:r w:rsidRPr="0006207F">
        <w:t>The plant demolition studies SWEPCO used to develop terminal removal cost and salvage for each of SWEPCO’s generating facilities are reasonable.  These studies were prepared by an experienced consulting engineering firm and incorporate reasonable methodology, data assumptions, and engineering judgment.</w:t>
      </w:r>
      <w:r>
        <w:rPr>
          <w:rStyle w:val="FootnoteReference"/>
        </w:rPr>
        <w:footnoteReference w:id="342"/>
      </w:r>
      <w:r w:rsidRPr="0006207F">
        <w:t xml:space="preserve"> </w:t>
      </w:r>
    </w:p>
    <w:p w14:paraId="7F8311CF" w14:textId="77777777" w:rsidR="00B00B7F" w:rsidRPr="0006207F" w:rsidRDefault="00B00B7F" w:rsidP="00B00B7F">
      <w:pPr>
        <w:spacing w:line="240" w:lineRule="auto"/>
        <w:ind w:left="1440" w:right="720" w:firstLine="0"/>
      </w:pPr>
    </w:p>
    <w:p w14:paraId="624F1F85" w14:textId="77777777" w:rsidR="00B00B7F" w:rsidRPr="0006207F" w:rsidRDefault="00B00B7F" w:rsidP="00B00B7F">
      <w:r>
        <w:t>Intervenors’</w:t>
      </w:r>
      <w:r w:rsidRPr="0006207F">
        <w:t xml:space="preserve"> “technical” criticism of Mr. Davis’ escalation of terminal demolition costs is also invalid and is contrary to accepted depreciation principles.  As Mr. Davis observed in Rebuttal Testimony, the NARUC indicated in “Public Utility Depreciation Practices” (August 1996) at page 18, lines 9-13:</w:t>
      </w:r>
    </w:p>
    <w:p w14:paraId="10790BC2" w14:textId="77777777" w:rsidR="00B00B7F" w:rsidRDefault="00B00B7F" w:rsidP="00463C8C">
      <w:pPr>
        <w:spacing w:line="240" w:lineRule="auto"/>
        <w:ind w:left="720" w:right="720" w:firstLine="0"/>
      </w:pPr>
      <w:r w:rsidRPr="0006207F">
        <w:t xml:space="preserve">Net salvage is expressed as a percentage of plant retired by dividing the dollars of net salvage by the dollars of original cost of plant retired.  The goal of accounting for net salvage is to allocate the net cost of an asset to accounting periods, making due allowance for the net salvage, positive or negative, that will be obtained </w:t>
      </w:r>
      <w:r w:rsidRPr="009D5822">
        <w:rPr>
          <w:i/>
        </w:rPr>
        <w:t>when the asset is retired</w:t>
      </w:r>
      <w:r w:rsidRPr="0006207F">
        <w:t>.</w:t>
      </w:r>
      <w:r>
        <w:rPr>
          <w:rStyle w:val="FootnoteReference"/>
        </w:rPr>
        <w:footnoteReference w:id="343"/>
      </w:r>
      <w:r w:rsidRPr="0006207F">
        <w:t xml:space="preserve">  [Emphasis </w:t>
      </w:r>
      <w:r w:rsidR="00463C8C">
        <w:t>added</w:t>
      </w:r>
      <w:r w:rsidRPr="0006207F">
        <w:t>.]</w:t>
      </w:r>
    </w:p>
    <w:p w14:paraId="0EC4CE2C" w14:textId="77777777" w:rsidR="00B00B7F" w:rsidRPr="0006207F" w:rsidRDefault="00B00B7F" w:rsidP="00B00B7F">
      <w:pPr>
        <w:spacing w:line="240" w:lineRule="auto"/>
        <w:ind w:left="1440" w:right="720" w:firstLine="0"/>
      </w:pPr>
    </w:p>
    <w:p w14:paraId="2F262668" w14:textId="77777777" w:rsidR="00B00B7F" w:rsidRPr="0006207F" w:rsidRDefault="00B00B7F" w:rsidP="00B00B7F">
      <w:r>
        <w:t>Although CARD makes the spurious claim in its Exceptions that t</w:t>
      </w:r>
      <w:r w:rsidRPr="0006207F">
        <w:t xml:space="preserve">his text </w:t>
      </w:r>
      <w:r>
        <w:t xml:space="preserve">does not support SWEPCO’s position, that claim is wrong.  It clearly </w:t>
      </w:r>
      <w:r w:rsidRPr="0006207F">
        <w:t xml:space="preserve">indicates that depreciation practices recognized by NARUC explicitly support the inclusion of plant removal costs in the depreciation calculation at the value expected to be incurred </w:t>
      </w:r>
      <w:r w:rsidRPr="00A54614">
        <w:rPr>
          <w:i/>
        </w:rPr>
        <w:t>when the plant is retired</w:t>
      </w:r>
      <w:r w:rsidRPr="0006207F">
        <w:t xml:space="preserve">, not at current dollars as maintained by </w:t>
      </w:r>
      <w:r>
        <w:t xml:space="preserve">CARD witness </w:t>
      </w:r>
      <w:r w:rsidRPr="0006207F">
        <w:t>Mr. Garrett.  The Commission has agreed.  In Finding of Fact No.</w:t>
      </w:r>
      <w:r>
        <w:t> </w:t>
      </w:r>
      <w:r w:rsidRPr="0006207F">
        <w:t>194 from its Order in Commission Docket No. 40443, the Commission stated:</w:t>
      </w:r>
    </w:p>
    <w:p w14:paraId="659C3500" w14:textId="77777777" w:rsidR="00B00B7F" w:rsidRDefault="00B00B7F" w:rsidP="00463C8C">
      <w:pPr>
        <w:spacing w:line="240" w:lineRule="auto"/>
        <w:ind w:left="720" w:right="720" w:firstLine="0"/>
      </w:pPr>
      <w:r w:rsidRPr="0006207F">
        <w:t xml:space="preserve">It is reasonable for SWEPCO to escalate the terminal removal cost and salvage in the demolition studies (which are stated in first quarter 2012 dollars) to the expected retirement date of each plant using a 2.5% inflation rate from the “Livingston Survey” dated December 2011 published by the research department </w:t>
      </w:r>
      <w:r w:rsidRPr="0006207F">
        <w:lastRenderedPageBreak/>
        <w:t>of the Federal Reserve Bank of Philadelphia.</w:t>
      </w:r>
      <w:r>
        <w:rPr>
          <w:rStyle w:val="FootnoteReference"/>
        </w:rPr>
        <w:footnoteReference w:id="344"/>
      </w:r>
      <w:r w:rsidRPr="0006207F">
        <w:t xml:space="preserve"> </w:t>
      </w:r>
    </w:p>
    <w:p w14:paraId="34AA3D4F" w14:textId="77777777" w:rsidR="00B00B7F" w:rsidRPr="0006207F" w:rsidRDefault="00B00B7F" w:rsidP="00B00B7F">
      <w:pPr>
        <w:spacing w:line="240" w:lineRule="auto"/>
        <w:ind w:left="1440" w:right="720" w:firstLine="0"/>
      </w:pPr>
    </w:p>
    <w:p w14:paraId="01FEC04B" w14:textId="77777777" w:rsidR="00B00B7F" w:rsidRPr="0006207F" w:rsidRDefault="00B00B7F" w:rsidP="00B00B7F">
      <w:r w:rsidRPr="0006207F">
        <w:t>In other states where AEP utilities operate, utility commissions have also adopted depreciation calculations based on production plant demolition studies comparable to the ones sponsored by SWEPCO in this proceeding and have accepted the practice of escalating generating unit retirement costs to the date of retirement.</w:t>
      </w:r>
      <w:r>
        <w:rPr>
          <w:rStyle w:val="FootnoteReference"/>
        </w:rPr>
        <w:footnoteReference w:id="345"/>
      </w:r>
      <w:r w:rsidRPr="0006207F">
        <w:t xml:space="preserve"> </w:t>
      </w:r>
    </w:p>
    <w:p w14:paraId="2523A064" w14:textId="77777777" w:rsidR="00B00B7F" w:rsidRDefault="00B00B7F" w:rsidP="00B00B7F">
      <w:r>
        <w:t>Intervenors’</w:t>
      </w:r>
      <w:r w:rsidRPr="0006207F">
        <w:t xml:space="preserve"> assertion that any escalated cost should be discounted is also at odds with straight-line depreciation principles </w:t>
      </w:r>
      <w:r>
        <w:t xml:space="preserve">(and the Commission’s prior finding quoted above), </w:t>
      </w:r>
      <w:r w:rsidRPr="0006207F">
        <w:t>and fails to take into account how depreciation is treated in the ratemaking process.  Discounting future removal costs would be incorrect because customers receive a return on the net salvage component of depreciation expense through the inclusion of accumulated depreciation as a reduction to rate base which reduces the required return to be included in rates.</w:t>
      </w:r>
      <w:r>
        <w:rPr>
          <w:rStyle w:val="FootnoteReference"/>
        </w:rPr>
        <w:footnoteReference w:id="346"/>
      </w:r>
      <w:r w:rsidRPr="0006207F">
        <w:t xml:space="preserve">  </w:t>
      </w:r>
      <w:r>
        <w:t>In fact, CARD’s argument that it makes in its Exceptions that customers only receive the benefit of this effect on accumulated depreciation in a future rate case is, essentially, an admission that customers will receive this benefit.</w:t>
      </w:r>
    </w:p>
    <w:p w14:paraId="62CCD713" w14:textId="77777777" w:rsidR="00B00B7F" w:rsidRPr="0006207F" w:rsidRDefault="00B00B7F" w:rsidP="00B00B7F">
      <w:r w:rsidRPr="0006207F">
        <w:t xml:space="preserve">Further, straight-line depreciation calculations are designed to produce equal annual depreciation amounts by calculating depreciation rates that allocate the remaining cost of a utility’s investment, including net salvage, over the remaining life of the investment.  Discounting the net salvage costs back to a net present value level would produce (all other factors being the same) the need for an increase in the depreciation accrual expense each year, shifting the cost from current to future ratepayers, despite the plant being of at least equal utility to current ratepayers.   </w:t>
      </w:r>
    </w:p>
    <w:p w14:paraId="6763CDF7" w14:textId="77777777" w:rsidR="00B00B7F" w:rsidRPr="0006207F" w:rsidRDefault="00B00B7F" w:rsidP="00B00B7F">
      <w:r>
        <w:t xml:space="preserve">At hearing, </w:t>
      </w:r>
      <w:r w:rsidRPr="0006207F">
        <w:t xml:space="preserve">Staff </w:t>
      </w:r>
      <w:r>
        <w:t xml:space="preserve">objected to SWEPCO’s use of a 2.25% escalation rate and </w:t>
      </w:r>
      <w:r w:rsidRPr="0006207F">
        <w:t>recommend</w:t>
      </w:r>
      <w:r>
        <w:t>ed</w:t>
      </w:r>
      <w:r w:rsidRPr="0006207F">
        <w:t xml:space="preserve"> that SWEPCO apply </w:t>
      </w:r>
      <w:r>
        <w:t>a 1.</w:t>
      </w:r>
      <w:r w:rsidRPr="0006207F">
        <w:t xml:space="preserve">97% escalation factor to the production plant terminal net salvage amounts.  </w:t>
      </w:r>
      <w:r>
        <w:t xml:space="preserve">It now </w:t>
      </w:r>
      <w:proofErr w:type="gramStart"/>
      <w:r>
        <w:t>excepts</w:t>
      </w:r>
      <w:proofErr w:type="gramEnd"/>
      <w:r>
        <w:t xml:space="preserve"> to the PFD’s adoption of SWEPCO’s rate.</w:t>
      </w:r>
      <w:r>
        <w:rPr>
          <w:rStyle w:val="FootnoteReference"/>
        </w:rPr>
        <w:footnoteReference w:id="347"/>
      </w:r>
      <w:r>
        <w:t xml:space="preserve"> </w:t>
      </w:r>
      <w:r w:rsidR="00463C8C">
        <w:t xml:space="preserve"> </w:t>
      </w:r>
      <w:r w:rsidRPr="0006207F">
        <w:t xml:space="preserve">The 1.97% escalation factor recommended by </w:t>
      </w:r>
      <w:r>
        <w:t xml:space="preserve">Staff witness </w:t>
      </w:r>
      <w:r w:rsidRPr="0006207F">
        <w:t xml:space="preserve">Mr. Tuvilla </w:t>
      </w:r>
      <w:r>
        <w:t xml:space="preserve">at hearing </w:t>
      </w:r>
      <w:r w:rsidRPr="0006207F">
        <w:t xml:space="preserve">is used in SWEPCO </w:t>
      </w:r>
      <w:r w:rsidRPr="0006207F">
        <w:lastRenderedPageBreak/>
        <w:t>return on equity witness Mr. Hevert’s analysis.</w:t>
      </w:r>
      <w:r>
        <w:rPr>
          <w:rStyle w:val="FootnoteReference"/>
        </w:rPr>
        <w:footnoteReference w:id="348"/>
      </w:r>
      <w:r w:rsidRPr="0006207F">
        <w:t xml:space="preserve">  However, the Commission should reject </w:t>
      </w:r>
      <w:r>
        <w:t>S</w:t>
      </w:r>
      <w:r w:rsidR="00463C8C">
        <w:t>taff</w:t>
      </w:r>
      <w:r w:rsidRPr="0006207F">
        <w:t xml:space="preserve">’s </w:t>
      </w:r>
      <w:r>
        <w:t>exceptions on this issue and adopt the PFD’s recommendation</w:t>
      </w:r>
      <w:r w:rsidRPr="0006207F">
        <w:t xml:space="preserve">.  </w:t>
      </w:r>
      <w:r>
        <w:t xml:space="preserve">As the ALJs found, </w:t>
      </w:r>
      <w:r w:rsidRPr="0006207F">
        <w:t xml:space="preserve">SWEPCO’s recommended 2.25% escalation factor is conservative, reasonable and less than the 2.50% factor used to escalate terminal demolition costs in Docket No. 40443, which, as indicated above, the Commission found reasonable.  </w:t>
      </w:r>
    </w:p>
    <w:p w14:paraId="7AE1634E" w14:textId="77777777" w:rsidR="00B00B7F" w:rsidRPr="0006207F" w:rsidRDefault="00B00B7F" w:rsidP="00B00B7F">
      <w:r>
        <w:t>In fact, the evidence indicates that t</w:t>
      </w:r>
      <w:r w:rsidRPr="0006207F">
        <w:t xml:space="preserve">he 2.25% escalation factor </w:t>
      </w:r>
      <w:r>
        <w:t xml:space="preserve">approved by the PFD </w:t>
      </w:r>
      <w:r w:rsidRPr="0006207F">
        <w:t>is a long term measure of future inflation (10 years) that comes from the December 2015 Livingston Survey, which is a publication of the Federal Reserve Bank of Philadelphia.  The Livingston Survey was also used to determine an escalation factor in Docket No. 40443.  The Livingston Survey from December 2016 estimates that inflation will be 2.30% annually over the next 10 years.  In comparison, the Handy Whitman index inflation rate from 2015 to 2016 is 2.75% for the South Central Region, Total Plant All Steam Generation.  The Handy Whitman index provides cost trends of electric utility construction.</w:t>
      </w:r>
      <w:r>
        <w:rPr>
          <w:rStyle w:val="FootnoteReference"/>
        </w:rPr>
        <w:footnoteReference w:id="349"/>
      </w:r>
      <w:r w:rsidRPr="0006207F">
        <w:t xml:space="preserve"> </w:t>
      </w:r>
    </w:p>
    <w:p w14:paraId="33AB9ABA" w14:textId="77777777" w:rsidR="00B00B7F" w:rsidRPr="0006207F" w:rsidRDefault="00B00B7F" w:rsidP="00B00B7F">
      <w:r w:rsidRPr="0006207F">
        <w:t xml:space="preserve">The 1.97% escalation rate used by Company witness Mr. Hevert in his Direct Testimony is an average of the long-term TIPS spread of 1.74% and the projected Blue Chip Financial Forecast (BCFF) of CPI for 2023 to 2027 of 2.20% ((1.74+2.20)/2=1.97).  The TIPS spread is a very narrow, finance-specific measure, based on the difference in forward yields on nominal long-term Treasury securities and long term Inflation Protected Treasury securities.  </w:t>
      </w:r>
      <w:r>
        <w:t>In contrast, t</w:t>
      </w:r>
      <w:r w:rsidRPr="0006207F">
        <w:t>he Livingston Survey estimate is a forecasted measure of expected general inflation (such as the Consumer Price Index) for a ten year period, and is thus more appropriate to determine the escalation of a range of demolition costs.  The BCFF rate of 2.20% is comparable to the 2.25% rate used to escalate SWEPCO’s terminal demolition costs.  It is also important to note that in his Rebuttal Testimony, Company witness Mr. Hevert updated his calculations.  The updated forward TIPS spread and the updated BCFF forecast (2.01% and 2.30% respectively) are quite close to the 2.25% escalation factor that Mr. Davis used.</w:t>
      </w:r>
      <w:r>
        <w:rPr>
          <w:rStyle w:val="FootnoteReference"/>
        </w:rPr>
        <w:footnoteReference w:id="350"/>
      </w:r>
      <w:r w:rsidRPr="0006207F">
        <w:t xml:space="preserve">  The 2.25% rate used by SWEPCO is </w:t>
      </w:r>
      <w:r w:rsidRPr="0006207F">
        <w:lastRenderedPageBreak/>
        <w:t>conservative, reasonable, and should be retained.</w:t>
      </w:r>
      <w:r>
        <w:rPr>
          <w:rStyle w:val="FootnoteReference"/>
        </w:rPr>
        <w:footnoteReference w:id="351"/>
      </w:r>
      <w:r w:rsidRPr="0006207F">
        <w:t xml:space="preserve"> </w:t>
      </w:r>
    </w:p>
    <w:p w14:paraId="595BA0EB" w14:textId="77777777" w:rsidR="00B00B7F" w:rsidRDefault="00B00B7F" w:rsidP="003A17DF">
      <w:pPr>
        <w:pStyle w:val="Heading3"/>
        <w:numPr>
          <w:ilvl w:val="0"/>
          <w:numId w:val="31"/>
        </w:numPr>
      </w:pPr>
      <w:bookmarkStart w:id="45" w:name="_Toc497123837"/>
      <w:r w:rsidRPr="000F5BDC">
        <w:t>Distribution</w:t>
      </w:r>
      <w:r>
        <w:t xml:space="preserve"> Plant</w:t>
      </w:r>
      <w:bookmarkEnd w:id="45"/>
      <w:r>
        <w:t xml:space="preserve"> </w:t>
      </w:r>
    </w:p>
    <w:p w14:paraId="2B393EEC" w14:textId="77777777" w:rsidR="00B00B7F" w:rsidRDefault="00B00B7F" w:rsidP="003A17DF">
      <w:pPr>
        <w:pStyle w:val="Heading4"/>
        <w:keepNext w:val="0"/>
        <w:numPr>
          <w:ilvl w:val="0"/>
          <w:numId w:val="32"/>
        </w:numPr>
      </w:pPr>
      <w:bookmarkStart w:id="46" w:name="_Toc497123838"/>
      <w:r>
        <w:t>Account 362 – Distribution Substation Equipment</w:t>
      </w:r>
      <w:bookmarkEnd w:id="46"/>
    </w:p>
    <w:p w14:paraId="4E2FBE9F" w14:textId="77777777" w:rsidR="00B00B7F" w:rsidRDefault="00B00B7F" w:rsidP="00B00B7F">
      <w:r w:rsidRPr="00C55EC7">
        <w:t>Distribution station equipment</w:t>
      </w:r>
      <w:r>
        <w:t>,</w:t>
      </w:r>
      <w:r w:rsidRPr="00C55EC7">
        <w:t xml:space="preserve"> Account 362</w:t>
      </w:r>
      <w:r>
        <w:t>,</w:t>
      </w:r>
      <w:r w:rsidRPr="00C55EC7">
        <w:t xml:space="preserve"> includes a variety of equipment such as circuit breakers, tran</w:t>
      </w:r>
      <w:r>
        <w:t>sformers and switchgear that is</w:t>
      </w:r>
      <w:r w:rsidRPr="00C55EC7">
        <w:t xml:space="preserve"> operated at distribution voltages.  Current depreciation rates for the assets in this account were established by the Commission in SWEPCO’s last rate case, Docket No. 40443, based on a 55-year service life and an S0.0 Iowa curve.  After conducting </w:t>
      </w:r>
      <w:r>
        <w:t>his analysis, Mr. Davis proposed</w:t>
      </w:r>
      <w:r w:rsidRPr="00C55EC7">
        <w:t xml:space="preserve"> a change to an S0.5 Iowa curve, but advocates maintaining the existing 55-year u</w:t>
      </w:r>
      <w:r>
        <w:t>seful life.  Staff witness Mr. Tuvilla agreed</w:t>
      </w:r>
      <w:r w:rsidRPr="00C55EC7">
        <w:t xml:space="preserve"> with Mr.</w:t>
      </w:r>
      <w:r w:rsidR="00463C8C">
        <w:t> </w:t>
      </w:r>
      <w:r w:rsidRPr="00C55EC7">
        <w:t xml:space="preserve">Davis.  </w:t>
      </w:r>
      <w:r>
        <w:t xml:space="preserve">However, in CARD witness </w:t>
      </w:r>
      <w:r w:rsidRPr="00C55EC7">
        <w:t>Mr. Garrett’s proposed de</w:t>
      </w:r>
      <w:r>
        <w:t xml:space="preserve">preciation adjustment, he </w:t>
      </w:r>
      <w:r w:rsidRPr="00C55EC7">
        <w:t>reflect</w:t>
      </w:r>
      <w:r>
        <w:t>ed</w:t>
      </w:r>
      <w:r w:rsidRPr="00C55EC7">
        <w:t xml:space="preserve"> the same S0.5 Iowa curve, but an extension of the assets’ useful life an ad</w:t>
      </w:r>
      <w:r>
        <w:t xml:space="preserve">ditional two years to 57 years - </w:t>
      </w:r>
      <w:r w:rsidRPr="00C55EC7">
        <w:t>even though he never bother</w:t>
      </w:r>
      <w:r>
        <w:t>ed</w:t>
      </w:r>
      <w:r w:rsidRPr="00C55EC7">
        <w:t xml:space="preserve"> to explain this adjustment in his testimony</w:t>
      </w:r>
      <w:r>
        <w:t xml:space="preserve"> and CARD never explained the adjustment in its briefing</w:t>
      </w:r>
      <w:r w:rsidRPr="00C55EC7">
        <w:t>.</w:t>
      </w:r>
      <w:r>
        <w:rPr>
          <w:rStyle w:val="FootnoteReference"/>
        </w:rPr>
        <w:footnoteReference w:id="352"/>
      </w:r>
      <w:r>
        <w:t xml:space="preserve">  In adopting SWEPCO’s proposal for this account, the ALJs noted in the PFD:  </w:t>
      </w:r>
    </w:p>
    <w:p w14:paraId="18B0C044" w14:textId="77777777" w:rsidR="00B00B7F" w:rsidRDefault="00B00B7F" w:rsidP="00463C8C">
      <w:pPr>
        <w:spacing w:line="240" w:lineRule="auto"/>
        <w:ind w:left="720" w:right="720" w:firstLine="0"/>
      </w:pPr>
      <w:r>
        <w:t>Given the fact that Mr. Garrett chose not to address the life combination for this account in his testimony and CARD also chose not to address it in briefing, the ALJs believe that there is no credible challenge to SWEPCO’s life curve combination.</w:t>
      </w:r>
      <w:r>
        <w:rPr>
          <w:rStyle w:val="FootnoteReference"/>
        </w:rPr>
        <w:footnoteReference w:id="353"/>
      </w:r>
    </w:p>
    <w:p w14:paraId="4FCCB6C3" w14:textId="77777777" w:rsidR="00B00B7F" w:rsidRDefault="00B00B7F" w:rsidP="00B00B7F">
      <w:pPr>
        <w:spacing w:line="240" w:lineRule="auto"/>
        <w:ind w:left="1440" w:right="720" w:firstLine="0"/>
      </w:pPr>
    </w:p>
    <w:p w14:paraId="7B8C2A4F" w14:textId="77777777" w:rsidR="00B00B7F" w:rsidRPr="00C55EC7" w:rsidRDefault="00B00B7F" w:rsidP="00B00B7F">
      <w:r>
        <w:t xml:space="preserve">CARD now </w:t>
      </w:r>
      <w:proofErr w:type="gramStart"/>
      <w:r>
        <w:t>excepts</w:t>
      </w:r>
      <w:proofErr w:type="gramEnd"/>
      <w:r>
        <w:t xml:space="preserve"> to the PFD’s findings for this account and</w:t>
      </w:r>
      <w:r w:rsidRPr="00704D41">
        <w:t xml:space="preserve">, </w:t>
      </w:r>
      <w:r w:rsidRPr="005017B3">
        <w:rPr>
          <w:i/>
        </w:rPr>
        <w:t>for the very first time in this case</w:t>
      </w:r>
      <w:r>
        <w:t>, it</w:t>
      </w:r>
      <w:r w:rsidRPr="00704D41">
        <w:t xml:space="preserve"> attempts to explain the lack of explanation for its adjustment by claiming that it is “simply” a mathematical by-product of Mr. Garrett’s accumulated depreciation reserve adjustment that the ALJs rejected and tha</w:t>
      </w:r>
      <w:r>
        <w:t>t was discussed above.</w:t>
      </w:r>
      <w:r>
        <w:rPr>
          <w:rStyle w:val="FootnoteReference"/>
        </w:rPr>
        <w:footnoteReference w:id="354"/>
      </w:r>
      <w:r>
        <w:t xml:space="preserve">  However, this explanation is faulty for a variety of reasons and the exception would be rejected by the Commission.  First, when CARD’s witness Mr. Garrett discussed his reversal of the Company’s proposed </w:t>
      </w:r>
      <w:r>
        <w:lastRenderedPageBreak/>
        <w:t xml:space="preserve">accumulated depreciation adjustment, in both prefiled testimony and on the witness stand, he </w:t>
      </w:r>
      <w:r w:rsidRPr="002C3E65">
        <w:rPr>
          <w:i/>
        </w:rPr>
        <w:t>never</w:t>
      </w:r>
      <w:r>
        <w:t xml:space="preserve"> explained how the adjustment would affect the useful life estimate of </w:t>
      </w:r>
      <w:r w:rsidRPr="002C3E65">
        <w:t>any</w:t>
      </w:r>
      <w:r>
        <w:t xml:space="preserve"> particular </w:t>
      </w:r>
      <w:r w:rsidRPr="002F4F74">
        <w:t xml:space="preserve">account.  In fact, because the adjustment was made to accumulated depreciation and because it was made at the functional level, it should have no effect on a particular asset’s useful life estimate.  Second, there is still no actual </w:t>
      </w:r>
      <w:r w:rsidRPr="002F4F74">
        <w:rPr>
          <w:i/>
        </w:rPr>
        <w:t>evidence</w:t>
      </w:r>
      <w:r w:rsidRPr="002F4F74">
        <w:t xml:space="preserve"> in the record supporting either CARD’s</w:t>
      </w:r>
      <w:r>
        <w:t xml:space="preserve"> adjustment or its new explanation it now advances in its Exceptions.  Finally, because CARD’s proposed adjustment to SWEPCO’s accumulated depreciation account should not be made for all the reasons explained both above and in the PFD, if CARD is correct that its adjustment for this account was the by-product of this faulty adjustment, then it also should be rejected by the Commission.</w:t>
      </w:r>
    </w:p>
    <w:p w14:paraId="4B3FFFE0" w14:textId="77777777" w:rsidR="00B00B7F" w:rsidRDefault="00B00B7F" w:rsidP="00B00B7F">
      <w:r>
        <w:t>CARD’s</w:t>
      </w:r>
      <w:r w:rsidRPr="00C55EC7">
        <w:t xml:space="preserve"> omission </w:t>
      </w:r>
      <w:r>
        <w:t xml:space="preserve">with regard to this account </w:t>
      </w:r>
      <w:r w:rsidRPr="00C55EC7">
        <w:t xml:space="preserve">is especially puzzling since, as Mr. Davis points out, the two selected curves are nearly identical.  However, </w:t>
      </w:r>
      <w:r>
        <w:t xml:space="preserve">the </w:t>
      </w:r>
      <w:r w:rsidRPr="0085141F">
        <w:rPr>
          <w:i/>
        </w:rPr>
        <w:t>only</w:t>
      </w:r>
      <w:r>
        <w:t xml:space="preserve"> evidence in the case demonstrates that </w:t>
      </w:r>
      <w:r w:rsidRPr="00C55EC7">
        <w:t>Mr. Davis’ average service life is more reasonable</w:t>
      </w:r>
      <w:r>
        <w:t>, especially</w:t>
      </w:r>
      <w:r w:rsidRPr="00C55EC7">
        <w:t xml:space="preserve"> when considering the average service life for account 362 for AEP subsidiary companies Texas Central Company, Appalachian Power Company, Indiana Michigan Power Company and Kentucky Power Company, which is 45 years.</w:t>
      </w:r>
      <w:r>
        <w:rPr>
          <w:rStyle w:val="FootnoteReference"/>
        </w:rPr>
        <w:footnoteReference w:id="355"/>
      </w:r>
      <w:r>
        <w:t xml:space="preserve">  CARD’s exception to the PFD in connection with this account should be rejected by the Commission.</w:t>
      </w:r>
    </w:p>
    <w:p w14:paraId="714812DB" w14:textId="77777777" w:rsidR="00B00B7F" w:rsidRPr="00C55EC7" w:rsidRDefault="00B00B7F" w:rsidP="00B00B7F">
      <w:pPr>
        <w:pStyle w:val="Heading4"/>
      </w:pPr>
      <w:bookmarkStart w:id="47" w:name="_Toc497123839"/>
      <w:r w:rsidRPr="00C55EC7">
        <w:t>Account 364-Distribution Poles</w:t>
      </w:r>
      <w:bookmarkEnd w:id="47"/>
    </w:p>
    <w:p w14:paraId="75085DA2" w14:textId="77777777" w:rsidR="00B00B7F" w:rsidRDefault="00B00B7F" w:rsidP="00B00B7F">
      <w:r w:rsidRPr="00C55EC7">
        <w:t>Distribution Account 364, Poles, Towers &amp; Fixtures primarily consists of poles and towers of various material types such as wood, concrete, and steel used to carry power at distribution voltages.  Current depreciation rates for the assets in this account were established by the Commission in SWEPCO’s last rate case, Docket No. 40443, based on a 54-year service life and an L0.0 Iowa curve.  After conducting his analysis, Mr. Davis proposes a R0.5 Iowa curve and to extend the useful life to 55 years.</w:t>
      </w:r>
      <w:r>
        <w:rPr>
          <w:rStyle w:val="FootnoteReference"/>
        </w:rPr>
        <w:footnoteReference w:id="356"/>
      </w:r>
      <w:r w:rsidRPr="00C55EC7">
        <w:t xml:space="preserve">  </w:t>
      </w:r>
      <w:r>
        <w:t xml:space="preserve">Staff witness </w:t>
      </w:r>
      <w:r w:rsidRPr="00C55EC7">
        <w:t>Mr. Tuvilla agree</w:t>
      </w:r>
      <w:r>
        <w:t>d</w:t>
      </w:r>
      <w:r w:rsidRPr="00C55EC7">
        <w:t xml:space="preserve"> with Mr.</w:t>
      </w:r>
      <w:r>
        <w:t> </w:t>
      </w:r>
      <w:r w:rsidRPr="00C55EC7">
        <w:t xml:space="preserve">Davis.  </w:t>
      </w:r>
      <w:r>
        <w:t xml:space="preserve">CARD witness </w:t>
      </w:r>
      <w:r w:rsidRPr="00C55EC7">
        <w:t>Mr. Garrett, however, advocate</w:t>
      </w:r>
      <w:r>
        <w:t>d</w:t>
      </w:r>
      <w:r w:rsidRPr="00C55EC7">
        <w:t xml:space="preserve"> maintaining the same L0.0 Iowa curve but extending the assets’ useful life an additional nine years to 63 years.</w:t>
      </w:r>
    </w:p>
    <w:p w14:paraId="5CFCF647" w14:textId="77777777" w:rsidR="00B00B7F" w:rsidRDefault="00B00B7F" w:rsidP="00B00B7F">
      <w:r>
        <w:t xml:space="preserve">The PFD rejected CARD’s proposed adjustment for this account and CARD now excepts </w:t>
      </w:r>
      <w:r>
        <w:lastRenderedPageBreak/>
        <w:t xml:space="preserve">on the grounds that its </w:t>
      </w:r>
      <w:r w:rsidRPr="00373FB2">
        <w:t>alternative life-curve combination offered a better “mathematical fit” to SWEPCO’s actuarial data</w:t>
      </w:r>
      <w:r>
        <w:t>.  However, as the ALJs noted, Mr. Davis</w:t>
      </w:r>
      <w:r w:rsidRPr="00C55EC7">
        <w:t xml:space="preserve"> explained that he recommended the R0.5 55 curve life combination for this account based on the fact that the </w:t>
      </w:r>
      <w:r>
        <w:t>average age of the property in A</w:t>
      </w:r>
      <w:r w:rsidRPr="00C55EC7">
        <w:t>ccount 364 is 16.32 years and less than 2% of the property balance is older than the 55-year life Mr. Davis selected.</w:t>
      </w:r>
      <w:r>
        <w:rPr>
          <w:rStyle w:val="FootnoteReference"/>
        </w:rPr>
        <w:footnoteReference w:id="357"/>
      </w:r>
      <w:r w:rsidRPr="00C55EC7">
        <w:t xml:space="preserve">  As Mr. Davis explained, the age of the property in this account is an important factor since the likelihood of failure with these assets tends to increase with age.  Additionally, proactive replacements of these types of assets also tend to be more common as assets age.  For these reasons, retirements in this account are expected to increase with age and Mr. Davis’ selection of a 55-year life is reasonable.</w:t>
      </w:r>
      <w:r>
        <w:rPr>
          <w:rStyle w:val="FootnoteReference"/>
        </w:rPr>
        <w:footnoteReference w:id="358"/>
      </w:r>
      <w:r w:rsidRPr="00C55EC7">
        <w:t xml:space="preserve">  This is especially evident when one considers that less than 2% of the property in this account is older than 55 years, and the average service life for assets in Account 364 for AEP subsidiary companies Texas Central Company, Appalachian Power Company, Indiana Michigan Power Company and Kentucky Power Company is 33 years – 22 years less than the life span advocated by Mr. Davis and 30 years less than the 63 year life advocated by Mr. Garrett.</w:t>
      </w:r>
      <w:r>
        <w:rPr>
          <w:rStyle w:val="FootnoteReference"/>
        </w:rPr>
        <w:footnoteReference w:id="359"/>
      </w:r>
      <w:r>
        <w:t xml:space="preserve">  As a result, CARD’s exceptions with regard to this account should be rejected by the Commission.</w:t>
      </w:r>
    </w:p>
    <w:p w14:paraId="6F80E751" w14:textId="77777777" w:rsidR="00B00B7F" w:rsidRDefault="00B00B7F" w:rsidP="003A17DF">
      <w:pPr>
        <w:pStyle w:val="Heading4"/>
        <w:keepNext w:val="0"/>
        <w:numPr>
          <w:ilvl w:val="0"/>
          <w:numId w:val="33"/>
        </w:numPr>
      </w:pPr>
      <w:bookmarkStart w:id="48" w:name="_Toc497123840"/>
      <w:r>
        <w:t>Account 368 – Distribution Line Transformers</w:t>
      </w:r>
      <w:bookmarkEnd w:id="48"/>
    </w:p>
    <w:p w14:paraId="3F371359" w14:textId="77777777" w:rsidR="00B00B7F" w:rsidRDefault="00B00B7F" w:rsidP="00B00B7F">
      <w:r w:rsidRPr="00C55EC7">
        <w:t>Distribution Line Transformers, Account 368, includes transformers, regulators, and capacitors.  Current depreciation rates for the assets in this account were established by the Commission in SWEPCO’s last rate case, Docket No. 40443, based on a 50-year service life and an L0.0 Iowa curve.  After conducting his analysis, Mr. Davis proposed to maintain the L0.0 50 life curve combination.</w:t>
      </w:r>
      <w:r>
        <w:rPr>
          <w:rStyle w:val="FootnoteReference"/>
        </w:rPr>
        <w:footnoteReference w:id="360"/>
      </w:r>
      <w:r w:rsidRPr="00C55EC7">
        <w:t xml:space="preserve">  </w:t>
      </w:r>
      <w:r>
        <w:t xml:space="preserve">Staff witness </w:t>
      </w:r>
      <w:r w:rsidRPr="00C55EC7">
        <w:t>Mr. Tuvilla agree</w:t>
      </w:r>
      <w:r>
        <w:t>d</w:t>
      </w:r>
      <w:r w:rsidRPr="00C55EC7">
        <w:t xml:space="preserve"> with Mr. Davis.  </w:t>
      </w:r>
      <w:r>
        <w:t xml:space="preserve">Similar to Account 362 discussed above, CARD witness </w:t>
      </w:r>
      <w:r w:rsidRPr="00C55EC7">
        <w:t xml:space="preserve">Mr. Garrett’s </w:t>
      </w:r>
      <w:r>
        <w:t xml:space="preserve">testimony never discussed this account, but his depreciation adjustment reflected a change.  He advocated </w:t>
      </w:r>
      <w:r w:rsidRPr="00C55EC7">
        <w:t>maintaining the same L0.0 Iowa curve but extending the assets’ useful life an additional two years to 52 yea</w:t>
      </w:r>
      <w:r>
        <w:t>rs, even though, again, there was</w:t>
      </w:r>
      <w:r w:rsidRPr="00C55EC7">
        <w:t xml:space="preserve"> no discussion of this adjustment in his Direct Testimony.</w:t>
      </w:r>
    </w:p>
    <w:p w14:paraId="3EEE2003" w14:textId="77777777" w:rsidR="00B00B7F" w:rsidRPr="00C55EC7" w:rsidRDefault="00B00B7F" w:rsidP="00B00B7F">
      <w:r>
        <w:lastRenderedPageBreak/>
        <w:t>Just as with Account 362 discussed above, CARD now claims in its Exceptions that the adjustment is simply the “mathematical by-product” of its erroneous accumulated depreciation adjustment and that this fact “explains” the lack of its prior discussion of this account in testimony and briefing.</w:t>
      </w:r>
      <w:r>
        <w:rPr>
          <w:rStyle w:val="FootnoteReference"/>
        </w:rPr>
        <w:footnoteReference w:id="361"/>
      </w:r>
      <w:r>
        <w:t xml:space="preserve">  As a result, CARD’s adjustment should fail for all the reasons indicated above in the discussion regarding Account 362.  </w:t>
      </w:r>
    </w:p>
    <w:p w14:paraId="504EF565" w14:textId="77777777" w:rsidR="00B00B7F" w:rsidRDefault="00B00B7F" w:rsidP="00B00B7F">
      <w:r>
        <w:t>Additionally,</w:t>
      </w:r>
      <w:r w:rsidRPr="00C55EC7">
        <w:t xml:space="preserve"> </w:t>
      </w:r>
      <w:r>
        <w:t xml:space="preserve">the </w:t>
      </w:r>
      <w:r w:rsidRPr="00D850A3">
        <w:rPr>
          <w:i/>
        </w:rPr>
        <w:t>only</w:t>
      </w:r>
      <w:r>
        <w:t xml:space="preserve"> evidence in the case indicates that Mr. Davis’</w:t>
      </w:r>
      <w:r w:rsidRPr="00C55EC7">
        <w:t xml:space="preserve"> average service life is more reasonable when considering the average service life for account 368 for AEP subsidiary companies Texas Central Company, Appalachian Power Company, Indiana Michigan Power Company, and Kentucky Power Company, which is 31 years.</w:t>
      </w:r>
      <w:r>
        <w:rPr>
          <w:rStyle w:val="FootnoteReference"/>
        </w:rPr>
        <w:footnoteReference w:id="362"/>
      </w:r>
      <w:r w:rsidRPr="00C55EC7">
        <w:t xml:space="preserve">  There is no reason to change from the current curve life selection of L0.0 50 for a shift to a 52-year average service life that is based on a mathematically insignificant differe</w:t>
      </w:r>
      <w:r>
        <w:t>nce, especially since CARD provided no evidence supporting its</w:t>
      </w:r>
      <w:r w:rsidRPr="00C55EC7">
        <w:t xml:space="preserve"> adjustment.</w:t>
      </w:r>
    </w:p>
    <w:p w14:paraId="00290986" w14:textId="77777777" w:rsidR="00B00B7F" w:rsidRDefault="00B00B7F" w:rsidP="00B00B7F">
      <w:pPr>
        <w:pStyle w:val="Heading3"/>
      </w:pPr>
      <w:bookmarkStart w:id="49" w:name="_Toc497123841"/>
      <w:r>
        <w:t>General Plant</w:t>
      </w:r>
      <w:bookmarkEnd w:id="49"/>
    </w:p>
    <w:p w14:paraId="415F0763" w14:textId="77777777" w:rsidR="00B00B7F" w:rsidRDefault="00B00B7F" w:rsidP="00B00B7F">
      <w:r w:rsidRPr="00C55EC7">
        <w:t>General Account 390 includes general structures such as offices and service buildings and structure improvements such as roofing, plumbing systems, and heating systems.  Current depreciation rates for the assets in this account were established by the Commission in SWEPCO’s last rate case, Docket No. 40443, based on a 51-year service life and an L0.5 Iowa curve.  After conducting his analysis, Mr. Davis proposed a</w:t>
      </w:r>
      <w:r w:rsidR="002F4F74">
        <w:t>n</w:t>
      </w:r>
      <w:r w:rsidRPr="00C55EC7">
        <w:t xml:space="preserve"> L0.0 curve and to extend the life to 55 years.</w:t>
      </w:r>
      <w:r>
        <w:rPr>
          <w:rStyle w:val="FootnoteReference"/>
        </w:rPr>
        <w:footnoteReference w:id="363"/>
      </w:r>
      <w:r w:rsidRPr="00C55EC7">
        <w:t xml:space="preserve">  </w:t>
      </w:r>
      <w:r>
        <w:t xml:space="preserve">Staff witness </w:t>
      </w:r>
      <w:r w:rsidRPr="00C55EC7">
        <w:t>Mr. Tuvilla agree</w:t>
      </w:r>
      <w:r>
        <w:t>d</w:t>
      </w:r>
      <w:r w:rsidRPr="00C55EC7">
        <w:t xml:space="preserve"> with Mr. Davis.  </w:t>
      </w:r>
      <w:r>
        <w:t xml:space="preserve">But just as with Accounts 362 and 368, discussed above, </w:t>
      </w:r>
      <w:r w:rsidRPr="00C55EC7">
        <w:t>Mr. Garrett’s pr</w:t>
      </w:r>
      <w:r>
        <w:t xml:space="preserve">oposed depreciation adjustment </w:t>
      </w:r>
      <w:r w:rsidRPr="00C55EC7">
        <w:t>reflect</w:t>
      </w:r>
      <w:r>
        <w:t xml:space="preserve">ed a change.  Specifically, his depreciation adjustment reflected </w:t>
      </w:r>
      <w:r w:rsidRPr="00C55EC7">
        <w:t>maintaining the same L0.0 Iowa curve but extending the assets’ useful life an additional seven years to 58 years, although, again, there was absolutely no explanation of the change to this account in his testimony.</w:t>
      </w:r>
    </w:p>
    <w:p w14:paraId="75AB3329" w14:textId="77777777" w:rsidR="00B00B7F" w:rsidRPr="00C55EC7" w:rsidRDefault="00B00B7F" w:rsidP="00B00B7F">
      <w:r w:rsidRPr="00451FC7">
        <w:t>Just as with Account</w:t>
      </w:r>
      <w:r>
        <w:t>s</w:t>
      </w:r>
      <w:r w:rsidRPr="00451FC7">
        <w:t xml:space="preserve"> 362 </w:t>
      </w:r>
      <w:r>
        <w:t xml:space="preserve">and 368 </w:t>
      </w:r>
      <w:r w:rsidRPr="00451FC7">
        <w:t xml:space="preserve">discussed above, CARD now claims in its Exceptions that the adjustment is simply the “mathematical” by-product of its erroneous accumulated depreciation adjustment and that this fact “explains” the lack of its prior discussion of this </w:t>
      </w:r>
      <w:r w:rsidRPr="00451FC7">
        <w:lastRenderedPageBreak/>
        <w:t xml:space="preserve">account in testimony and briefing.  As a result, the adjustment should fail for all the reasons indicated above </w:t>
      </w:r>
      <w:r>
        <w:t xml:space="preserve">in the </w:t>
      </w:r>
      <w:r w:rsidRPr="00451FC7">
        <w:t>discussion</w:t>
      </w:r>
      <w:r>
        <w:t>s</w:t>
      </w:r>
      <w:r w:rsidRPr="00451FC7">
        <w:t xml:space="preserve"> regarding </w:t>
      </w:r>
      <w:r>
        <w:t>those two accounts</w:t>
      </w:r>
      <w:r w:rsidRPr="00451FC7">
        <w:t>.</w:t>
      </w:r>
    </w:p>
    <w:p w14:paraId="43D69E16" w14:textId="77777777" w:rsidR="00B00B7F" w:rsidRDefault="00B00B7F" w:rsidP="00B00B7F">
      <w:r>
        <w:t>Further, as Mr. Davis testified</w:t>
      </w:r>
      <w:r w:rsidRPr="00C55EC7">
        <w:t xml:space="preserve">, </w:t>
      </w:r>
      <w:r>
        <w:t xml:space="preserve">the </w:t>
      </w:r>
      <w:r w:rsidRPr="00A4305E">
        <w:rPr>
          <w:i/>
        </w:rPr>
        <w:t>only</w:t>
      </w:r>
      <w:r>
        <w:t xml:space="preserve"> evidence in the case indicates that </w:t>
      </w:r>
      <w:r w:rsidRPr="00C55EC7">
        <w:t>his average service life is more reasonable when considering the average service life for account 390 for AEP subsidiary companies Texas Central Company, Appalachian Power Company, Indiana Michigan Power Company, and Kentucky Power Company, which is 41 years.</w:t>
      </w:r>
      <w:r>
        <w:rPr>
          <w:rStyle w:val="FootnoteReference"/>
        </w:rPr>
        <w:footnoteReference w:id="364"/>
      </w:r>
    </w:p>
    <w:p w14:paraId="1B7B84F1" w14:textId="77777777" w:rsidR="00511E7F" w:rsidRDefault="00511E7F" w:rsidP="00B00B7F">
      <w:pPr>
        <w:pStyle w:val="Heading2"/>
        <w:ind w:hanging="720"/>
      </w:pPr>
      <w:bookmarkStart w:id="50" w:name="_Toc497123842"/>
      <w:r w:rsidRPr="00511E7F">
        <w:t>Payroll Adjustment</w:t>
      </w:r>
      <w:bookmarkEnd w:id="50"/>
    </w:p>
    <w:p w14:paraId="6CA7C7F2" w14:textId="77777777" w:rsidR="001A70CA" w:rsidRPr="00EA10F5" w:rsidRDefault="001A70CA" w:rsidP="0020327D">
      <w:pPr>
        <w:keepNext/>
      </w:pPr>
      <w:r w:rsidRPr="00EA10F5">
        <w:t>SWEPCO’s proposed payroll is based on the salaries of its employees for the final pay period at the end of the test year (annualization) plus an after the test year pay increase of 3.5% for which all increases were approved and then implemented by April 2017 (</w:t>
      </w:r>
      <w:r w:rsidRPr="00EA10F5">
        <w:rPr>
          <w:i/>
        </w:rPr>
        <w:t>i.e.</w:t>
      </w:r>
      <w:r w:rsidRPr="00EA10F5">
        <w:t xml:space="preserve"> a known and measurable adjustment under 16 TAC § 25.231(b)).</w:t>
      </w:r>
      <w:r w:rsidRPr="00EA10F5">
        <w:rPr>
          <w:vertAlign w:val="superscript"/>
        </w:rPr>
        <w:footnoteReference w:id="365"/>
      </w:r>
      <w:r w:rsidRPr="00EA10F5">
        <w:t xml:space="preserve">  In </w:t>
      </w:r>
      <w:r>
        <w:t xml:space="preserve">SWEPCO’s previous rate case, </w:t>
      </w:r>
      <w:r w:rsidRPr="00EA10F5">
        <w:t>Docket No. 40443, the Commission approved payroll that included annualized base payroll to the salary rates in effect at the end of the test year (2011) and recognized the effect of merit and general increases implemented in 2012.  In that case, Finding of Fact No. 211 stated:</w:t>
      </w:r>
    </w:p>
    <w:p w14:paraId="7BAE8A2B" w14:textId="77777777" w:rsidR="001A70CA" w:rsidRPr="00EA10F5" w:rsidRDefault="001A70CA" w:rsidP="00FB2C4B">
      <w:pPr>
        <w:spacing w:after="180" w:line="240" w:lineRule="auto"/>
        <w:ind w:left="720" w:right="720" w:firstLine="0"/>
        <w:rPr>
          <w:spacing w:val="-3"/>
        </w:rPr>
      </w:pPr>
      <w:r w:rsidRPr="00EA10F5">
        <w:rPr>
          <w:spacing w:val="-3"/>
        </w:rPr>
        <w:t>Because these payroll increases were awarded in 2012, they represent appropriate known and measurable adjustments to test-year expenses.</w:t>
      </w:r>
      <w:r w:rsidR="0012148F">
        <w:rPr>
          <w:rStyle w:val="FootnoteReference"/>
          <w:spacing w:val="-3"/>
        </w:rPr>
        <w:footnoteReference w:id="366"/>
      </w:r>
    </w:p>
    <w:p w14:paraId="71F78C2E" w14:textId="77777777" w:rsidR="001A70CA" w:rsidRPr="00EA10F5" w:rsidRDefault="001A70CA" w:rsidP="0020327D">
      <w:r w:rsidRPr="00EA10F5">
        <w:t xml:space="preserve">SWEPCO’s </w:t>
      </w:r>
      <w:r>
        <w:t xml:space="preserve">adjustment </w:t>
      </w:r>
      <w:r w:rsidRPr="00EA10F5">
        <w:t>in this proceeding matches the adjustment approved in Docket No. 40443.</w:t>
      </w:r>
    </w:p>
    <w:p w14:paraId="40C9A497" w14:textId="77777777" w:rsidR="001A70CA" w:rsidRPr="00EA10F5" w:rsidRDefault="001A70CA" w:rsidP="0020327D">
      <w:r w:rsidRPr="00EA10F5">
        <w:t xml:space="preserve">SWEPCO’s adjustment is also consistent with the Commission’s Cost of Service rule, which states:  “In computing an electric utility’s allowable expenses, only the electric utility’s historical test year expenses </w:t>
      </w:r>
      <w:r w:rsidRPr="00EA10F5">
        <w:rPr>
          <w:i/>
        </w:rPr>
        <w:t>as adjusted for known and measurable changes</w:t>
      </w:r>
      <w:r w:rsidRPr="00EA10F5">
        <w:t xml:space="preserve"> will be considered.”</w:t>
      </w:r>
      <w:r w:rsidRPr="00EA10F5">
        <w:rPr>
          <w:vertAlign w:val="superscript"/>
        </w:rPr>
        <w:footnoteReference w:id="367"/>
      </w:r>
      <w:r w:rsidRPr="00EA10F5">
        <w:t xml:space="preserve">  There can be no denying that the 3.5% pay increase is both known and measurable.  Exhibit RWH-7R </w:t>
      </w:r>
      <w:r>
        <w:t xml:space="preserve">(AEP Human Resources Committee Board minutes) </w:t>
      </w:r>
      <w:r w:rsidRPr="00EA10F5">
        <w:t>to the rebuttal testimony of SWEPCO witness Mr. Hamlett demonstrates that the 3.5% payroll was actually implemented in September 2016, January 2017, and April 2017.</w:t>
      </w:r>
    </w:p>
    <w:p w14:paraId="12BC13A5" w14:textId="77777777" w:rsidR="001A70CA" w:rsidRPr="00EA10F5" w:rsidRDefault="001A70CA" w:rsidP="0020327D">
      <w:r w:rsidRPr="00EA10F5">
        <w:lastRenderedPageBreak/>
        <w:t>CARD alleges that an adjustment for awarded pay increases “is almost never appropriate” because payroll “will never increase by the amount of the nominal increase.”</w:t>
      </w:r>
      <w:r w:rsidRPr="00EA10F5">
        <w:rPr>
          <w:vertAlign w:val="superscript"/>
        </w:rPr>
        <w:footnoteReference w:id="368"/>
      </w:r>
      <w:r w:rsidRPr="00EA10F5">
        <w:t xml:space="preserve">  While fluctuations in the mix of employees may cause total salaries to vary slightly from the awarded increase, Mr. Hamlett’s Exhibit RWH-6R demonstrates that any such variance has been small and, over the past four years, has exceeded the awarded increase as many times as it has not.</w:t>
      </w:r>
    </w:p>
    <w:p w14:paraId="544A4BCD" w14:textId="77777777" w:rsidR="001A70CA" w:rsidRPr="00EA10F5" w:rsidRDefault="001A70CA" w:rsidP="0020327D">
      <w:r w:rsidRPr="00EA10F5">
        <w:t>CARD lists four other factors that may impact total payroll (some more nonsensical than others), including retiring employees “taking higher salaries off the books” (as though other employees would not be promoted into those positions), workforce reorganizations, productivity gains, and changes in capitalization ratios.</w:t>
      </w:r>
      <w:r w:rsidRPr="00EA10F5">
        <w:rPr>
          <w:vertAlign w:val="superscript"/>
        </w:rPr>
        <w:footnoteReference w:id="369"/>
      </w:r>
      <w:r w:rsidRPr="00EA10F5">
        <w:t xml:space="preserve">  All CARD has done is identify several things that are not known and measurable.  The pay raise actually awarded is.</w:t>
      </w:r>
    </w:p>
    <w:p w14:paraId="414ACD6A" w14:textId="77777777" w:rsidR="001A70CA" w:rsidRPr="00EA10F5" w:rsidRDefault="001A70CA" w:rsidP="0020327D">
      <w:r w:rsidRPr="00EA10F5">
        <w:t>CARD writes that it is “not appropriate to adhere to test-year costs for other costs such as rate base investment, depreciation expense, taxes, and revenues, but to reach beyond the test year for the payroll expense adjustment.”</w:t>
      </w:r>
      <w:r w:rsidRPr="00EA10F5">
        <w:rPr>
          <w:vertAlign w:val="superscript"/>
        </w:rPr>
        <w:footnoteReference w:id="370"/>
      </w:r>
      <w:r w:rsidRPr="00EA10F5">
        <w:t xml:space="preserve">  The fact is that all of these costs </w:t>
      </w:r>
      <w:r>
        <w:t xml:space="preserve">identified by CARD </w:t>
      </w:r>
      <w:r w:rsidRPr="00EA10F5">
        <w:t>can be adjusted under the Cost of Service rule, if there is a known and m</w:t>
      </w:r>
      <w:r>
        <w:t>easurable adjustment to be made, such as the 3.5% pay increase actually awarded employees in 2016 and 2017.  At its heart, CARD is simply disagreeing with the Commission’s Cost of Service rule, which allows test year data to be “adjusted for known and measurable changes.”  CARD’s exceptions seem to admit as much, urging the Commission to disallow the adjustment for the pay raises actually awarded in 2016 and 2017 because it “comprises a post, test-year adjustment.”</w:t>
      </w:r>
      <w:r>
        <w:rPr>
          <w:rStyle w:val="FootnoteReference"/>
        </w:rPr>
        <w:footnoteReference w:id="371"/>
      </w:r>
    </w:p>
    <w:p w14:paraId="6DB74275" w14:textId="77777777" w:rsidR="001A70CA" w:rsidRDefault="001A70CA" w:rsidP="0020327D">
      <w:r w:rsidRPr="00EA10F5">
        <w:t xml:space="preserve">CARD suggests that “productivity gains” may offset the need to recognize some of the known and measurable 3.5% payroll increase.  CARD cites a national average of 2.1% from 2007 through 2015.  In other words, CARD is implying that SWEPCO’s workforce will decrease 2.1% between July 1, 2016 and June 30, 2017.  However, SWEPCO’s workforce has not </w:t>
      </w:r>
      <w:r w:rsidRPr="00EA10F5">
        <w:lastRenderedPageBreak/>
        <w:t>decreased but has actually increased slightly since the end of the test year.</w:t>
      </w:r>
      <w:r w:rsidRPr="00EA10F5">
        <w:rPr>
          <w:vertAlign w:val="superscript"/>
        </w:rPr>
        <w:footnoteReference w:id="372"/>
      </w:r>
    </w:p>
    <w:p w14:paraId="2A7D7260" w14:textId="77777777" w:rsidR="001A70CA" w:rsidRDefault="001A70CA" w:rsidP="0020327D">
      <w:r>
        <w:t xml:space="preserve">In its exceptions, CARD attempts to back away from its original argument regarding productivity gains and writes, “It is not CARD’s position that the actual number of employees will decrease by 2.1%, but rather the cost of the workforce will decrease by 2.1%.  As older, more expensive, employees </w:t>
      </w:r>
      <w:proofErr w:type="gramStart"/>
      <w:r>
        <w:t>retire,</w:t>
      </w:r>
      <w:proofErr w:type="gramEnd"/>
      <w:r>
        <w:t xml:space="preserve"> they are replaced with younger, less expensive employees who can do the same work because they’ve been well trained.”</w:t>
      </w:r>
      <w:r>
        <w:rPr>
          <w:rStyle w:val="FootnoteReference"/>
        </w:rPr>
        <w:footnoteReference w:id="373"/>
      </w:r>
      <w:r>
        <w:t xml:space="preserve">  CARD cites no evidence for this claim, because there is no evidence to support this claim.  Nor does it make sense.  In the world constructed by CARD in its exceptions, workforces will become younger and younger, year after year, and payroll costs will </w:t>
      </w:r>
      <w:r w:rsidRPr="000E74C2">
        <w:rPr>
          <w:b/>
          <w:i/>
        </w:rPr>
        <w:t>decrease</w:t>
      </w:r>
      <w:r>
        <w:t xml:space="preserve"> year after year.  CARD’s new theory has no basis in the evidence or in reality.</w:t>
      </w:r>
    </w:p>
    <w:p w14:paraId="299987B2" w14:textId="77777777" w:rsidR="001A70CA" w:rsidRPr="00EA10F5" w:rsidRDefault="001A70CA" w:rsidP="0020327D">
      <w:r w:rsidRPr="00EA10F5">
        <w:t xml:space="preserve">In Docket No. 39896, Mr. Garrett </w:t>
      </w:r>
      <w:r>
        <w:t xml:space="preserve">(CARD’s witness in this proceeding) </w:t>
      </w:r>
      <w:r w:rsidRPr="00EA10F5">
        <w:t xml:space="preserve">discussed the same productivity gain adjustment.  The adjustment was rejected in the </w:t>
      </w:r>
      <w:r w:rsidR="00463FE4">
        <w:t>PFD</w:t>
      </w:r>
      <w:r w:rsidRPr="00EA10F5">
        <w:rPr>
          <w:vertAlign w:val="superscript"/>
        </w:rPr>
        <w:footnoteReference w:id="374"/>
      </w:r>
      <w:r w:rsidRPr="00EA10F5">
        <w:t xml:space="preserve"> and not adopted by the Commission.</w:t>
      </w:r>
      <w:r>
        <w:t xml:space="preserve">  In rejecting Mr. Garrett’s similar recommendation in Docket No. 39896, the ALJs wrote, “</w:t>
      </w:r>
      <w:r w:rsidRPr="00EB6D70">
        <w:t>There can</w:t>
      </w:r>
      <w:r>
        <w:t xml:space="preserve"> </w:t>
      </w:r>
      <w:r w:rsidRPr="00EB6D70">
        <w:t>be no real dispute about the fact that the pay raises are known and measurable.</w:t>
      </w:r>
      <w:r>
        <w:t>”</w:t>
      </w:r>
      <w:r>
        <w:rPr>
          <w:rStyle w:val="FootnoteReference"/>
        </w:rPr>
        <w:footnoteReference w:id="375"/>
      </w:r>
      <w:r>
        <w:t xml:space="preserve">  Nor can there be any real dispute in the present case about the fact that the pay raises implemented in 2016 and 2017 are known and measurable.</w:t>
      </w:r>
    </w:p>
    <w:p w14:paraId="01F781B3" w14:textId="77777777" w:rsidR="00B00B7F" w:rsidRDefault="00B00B7F" w:rsidP="003A17DF">
      <w:pPr>
        <w:pStyle w:val="Heading2"/>
        <w:numPr>
          <w:ilvl w:val="0"/>
          <w:numId w:val="45"/>
        </w:numPr>
        <w:ind w:hanging="720"/>
      </w:pPr>
      <w:bookmarkStart w:id="51" w:name="_Ref493150585"/>
      <w:bookmarkStart w:id="52" w:name="_Toc497123843"/>
      <w:r w:rsidRPr="00D66971">
        <w:t>Incentive</w:t>
      </w:r>
      <w:r>
        <w:t xml:space="preserve"> </w:t>
      </w:r>
      <w:r w:rsidRPr="00350489">
        <w:t>Compensation</w:t>
      </w:r>
      <w:bookmarkEnd w:id="51"/>
      <w:bookmarkEnd w:id="52"/>
    </w:p>
    <w:p w14:paraId="0F374ED4" w14:textId="77777777" w:rsidR="00B00B7F" w:rsidRPr="008935CC" w:rsidRDefault="00B00B7F" w:rsidP="003A17DF">
      <w:pPr>
        <w:pStyle w:val="Heading3"/>
        <w:numPr>
          <w:ilvl w:val="0"/>
          <w:numId w:val="37"/>
        </w:numPr>
      </w:pPr>
      <w:bookmarkStart w:id="53" w:name="_Toc497123844"/>
      <w:r w:rsidRPr="008935CC">
        <w:t>Annual Incentive Compensation</w:t>
      </w:r>
      <w:bookmarkEnd w:id="53"/>
    </w:p>
    <w:p w14:paraId="57D7C13B" w14:textId="77777777" w:rsidR="00B00B7F" w:rsidRPr="008935CC" w:rsidRDefault="00B00B7F" w:rsidP="00B00B7F">
      <w:r w:rsidRPr="008935CC">
        <w:t xml:space="preserve">OPUC argues that the ALJs erred by including </w:t>
      </w:r>
      <w:r w:rsidR="00C4758E">
        <w:t xml:space="preserve">in the revenue requirement </w:t>
      </w:r>
      <w:r w:rsidRPr="008935CC">
        <w:t xml:space="preserve">$390,701 of incentive compensation that OPUC claims is also financially based.  OPUC argues that in addition to the 75% EPS funding trigger, there is another 10% of executive compensation related to strategic planning that is financially based and 5% of AEP generation initiatives that should be </w:t>
      </w:r>
      <w:r w:rsidRPr="008935CC">
        <w:lastRenderedPageBreak/>
        <w:t>disallowed.</w:t>
      </w:r>
      <w:r w:rsidRPr="008935CC">
        <w:rPr>
          <w:rStyle w:val="FootnoteReference"/>
        </w:rPr>
        <w:footnoteReference w:id="376"/>
      </w:r>
      <w:r w:rsidRPr="008935CC">
        <w:t xml:space="preserve">  As explained by Company witness </w:t>
      </w:r>
      <w:r w:rsidR="00FB2C4B">
        <w:t xml:space="preserve">Andrew </w:t>
      </w:r>
      <w:r w:rsidRPr="008935CC">
        <w:t>Carlin, none of these adjustments are appropriate because the 2016 earnings goal was a cost savings goal that generated substantial savings in the test year, which benefits customers.</w:t>
      </w:r>
      <w:r w:rsidRPr="008935CC">
        <w:rPr>
          <w:rStyle w:val="FootnoteReference"/>
        </w:rPr>
        <w:footnoteReference w:id="377"/>
      </w:r>
      <w:r w:rsidRPr="008935CC">
        <w:t xml:space="preserve"> </w:t>
      </w:r>
      <w:r w:rsidR="00FB2C4B">
        <w:t xml:space="preserve"> </w:t>
      </w:r>
      <w:r w:rsidRPr="008935CC">
        <w:t>Additionally, the percentage OPUC suggests be removed is incorrect because several of the measures were only included in the 2015 plan, not the 2016 plan, and the test year split over the 2015 and 2016 incentive plan years.</w:t>
      </w:r>
      <w:r w:rsidRPr="008935CC">
        <w:rPr>
          <w:rStyle w:val="FootnoteReference"/>
        </w:rPr>
        <w:footnoteReference w:id="378"/>
      </w:r>
      <w:r w:rsidRPr="008935CC">
        <w:t xml:space="preserve">  Despite OPUC’s characterization, the incremental rate relief measure was not tied to achieving a certain level of rate </w:t>
      </w:r>
      <w:proofErr w:type="gramStart"/>
      <w:r w:rsidRPr="008935CC">
        <w:t>relief,</w:t>
      </w:r>
      <w:proofErr w:type="gramEnd"/>
      <w:r w:rsidRPr="008935CC">
        <w:t xml:space="preserve"> instead, it was based on obtaining appropriate rates of return on regulated business and regulatory approval for non-rate cases.</w:t>
      </w:r>
      <w:r w:rsidRPr="008935CC">
        <w:rPr>
          <w:rStyle w:val="FootnoteReference"/>
        </w:rPr>
        <w:t xml:space="preserve"> </w:t>
      </w:r>
      <w:r w:rsidRPr="008935CC">
        <w:rPr>
          <w:rStyle w:val="FootnoteReference"/>
        </w:rPr>
        <w:footnoteReference w:id="379"/>
      </w:r>
      <w:r w:rsidRPr="008935CC">
        <w:t xml:space="preserve">  Finally, the strategic assessment of competitive business measure provides an incentive for risk aversion and long tenure that is unrelated to utility financial performance.</w:t>
      </w:r>
      <w:r w:rsidRPr="008935CC">
        <w:rPr>
          <w:rStyle w:val="FootnoteReference"/>
        </w:rPr>
        <w:footnoteReference w:id="380"/>
      </w:r>
    </w:p>
    <w:p w14:paraId="0B1CD758" w14:textId="77777777" w:rsidR="00B00B7F" w:rsidRPr="008935CC" w:rsidRDefault="00B00B7F" w:rsidP="00B00B7F">
      <w:r w:rsidRPr="008935CC">
        <w:t>Additionally, OPUC argues that the ALJ</w:t>
      </w:r>
      <w:r w:rsidR="00FB2C4B">
        <w:t>s</w:t>
      </w:r>
      <w:r w:rsidRPr="008935CC">
        <w:t xml:space="preserve"> erred by only disallowing half of the 75% of the amount associated with the EPS funding trigger rather than half of 100% of SWEPCO’s incentive compensation.  As SWEPCO addressed in its Exceptions, the ALJs erred in recommending </w:t>
      </w:r>
      <w:r w:rsidRPr="008935CC">
        <w:rPr>
          <w:i/>
        </w:rPr>
        <w:t>any</w:t>
      </w:r>
      <w:r w:rsidRPr="008935CC">
        <w:t xml:space="preserve"> disallowance based on the EPS funding trigger.  This case is distinct from the SPS case because the Commission’s disallowance in that case was based on a lack of clear delineation between operational and financial goals which does not exist here.  However, if the Commission were to apply its holding in the SPS case to this case, the ALJs were correct to only disallow half of the 75% related to the EPS measure as recommended by </w:t>
      </w:r>
      <w:r w:rsidR="00FB2C4B">
        <w:t>Commission</w:t>
      </w:r>
      <w:r w:rsidRPr="008935CC">
        <w:t xml:space="preserve"> Staff.  </w:t>
      </w:r>
    </w:p>
    <w:p w14:paraId="6C7DF573" w14:textId="77777777" w:rsidR="00B00B7F" w:rsidRPr="008935CC" w:rsidRDefault="00B00B7F" w:rsidP="00B00B7F">
      <w:r w:rsidRPr="008935CC">
        <w:t xml:space="preserve">OPUC’s argument would result in the disallowance of the portion of incentive compensation that has been clearly established as operationally based.  No party questioned the operational nature of the goals associated with the 25% OPUC seeks to disallow, and the Company demonstrated that the operational and safety goals clearly benefit ratepayers.  Therefore, it would be inappropriate to disallow those expenses and discourage utilities from setting such operational goals to benefit customers.  The Commission’s disallowance in the SPS </w:t>
      </w:r>
      <w:r w:rsidRPr="008935CC">
        <w:lastRenderedPageBreak/>
        <w:t xml:space="preserve">case was not targeting the disallowance of operationally based incentive compensation, and OPUC’s attempt to expand that holding should be rejected.  Therefore, if the Commission’s holding in the SPS case is applied here, the ALJs were correct to apply it in the manner that Commission Staff recommended.  </w:t>
      </w:r>
    </w:p>
    <w:p w14:paraId="373E3C9B" w14:textId="77777777" w:rsidR="00B00B7F" w:rsidRDefault="00B00B7F" w:rsidP="003A17DF">
      <w:pPr>
        <w:pStyle w:val="Heading3"/>
        <w:keepNext w:val="0"/>
        <w:numPr>
          <w:ilvl w:val="0"/>
          <w:numId w:val="34"/>
        </w:numPr>
        <w:spacing w:after="120"/>
      </w:pPr>
      <w:bookmarkStart w:id="54" w:name="_Toc497123845"/>
      <w:r>
        <w:t>Long</w:t>
      </w:r>
      <w:r>
        <w:noBreakHyphen/>
        <w:t>Term Incentive Compensation</w:t>
      </w:r>
      <w:bookmarkEnd w:id="54"/>
      <w:r>
        <w:t xml:space="preserve"> </w:t>
      </w:r>
    </w:p>
    <w:p w14:paraId="69A7DB80" w14:textId="77777777" w:rsidR="00B00B7F" w:rsidRPr="008935CC" w:rsidRDefault="00B00B7F" w:rsidP="00B00B7F">
      <w:r w:rsidRPr="008935CC">
        <w:t xml:space="preserve">Seeking to overturn Commission precedent from SWEPCO’s last case, both CARD and OPUC argue the ALJs erred in their recommendation to allow SWEPCO to include </w:t>
      </w:r>
      <w:r w:rsidR="00C4758E">
        <w:t>the cost of</w:t>
      </w:r>
      <w:r w:rsidRPr="008935CC">
        <w:t xml:space="preserve"> Restricted Stock Units (RSUs) in rates, continuing to argue that RSUs are financially-based and should also be excluded from rates.</w:t>
      </w:r>
      <w:r w:rsidRPr="008935CC">
        <w:rPr>
          <w:rStyle w:val="FootnoteReference"/>
        </w:rPr>
        <w:footnoteReference w:id="381"/>
      </w:r>
      <w:r w:rsidRPr="008935CC">
        <w:t xml:space="preserve">  As the ALJs noted, </w:t>
      </w:r>
      <w:r w:rsidR="00C4758E">
        <w:t xml:space="preserve">inclusion of </w:t>
      </w:r>
      <w:r w:rsidRPr="008935CC">
        <w:t xml:space="preserve">RSUs </w:t>
      </w:r>
      <w:r w:rsidR="00C4758E">
        <w:t>in rates was approved</w:t>
      </w:r>
      <w:r w:rsidRPr="008935CC">
        <w:t xml:space="preserve"> in SWEPCO Docket No. 40443, where the ALJs concluded that “</w:t>
      </w:r>
      <w:r w:rsidR="007807B8">
        <w:t>[i]</w:t>
      </w:r>
      <w:r w:rsidRPr="008935CC">
        <w:t>n contrast [to performance units], restricted stock units, while generally similar in value to shares of AEP common stock, are awarded based solely on an employee’s satisfaction of certain vesting requirements.”</w:t>
      </w:r>
      <w:r w:rsidRPr="008935CC">
        <w:rPr>
          <w:rStyle w:val="FootnoteReference"/>
        </w:rPr>
        <w:footnoteReference w:id="382"/>
      </w:r>
      <w:r w:rsidRPr="008935CC">
        <w:t xml:space="preserve">  CARD and OPUC recognize that RSUs do not have performance targets, but nonetheless argue that RSUs are </w:t>
      </w:r>
      <w:r w:rsidRPr="008935CC">
        <w:rPr>
          <w:i/>
        </w:rPr>
        <w:t xml:space="preserve">per </w:t>
      </w:r>
      <w:r w:rsidRPr="008935CC">
        <w:t>se tied to financial measures because they align the participants’ interests with shareholders.</w:t>
      </w:r>
      <w:r w:rsidRPr="008935CC">
        <w:rPr>
          <w:rStyle w:val="FootnoteReference"/>
        </w:rPr>
        <w:footnoteReference w:id="383"/>
      </w:r>
      <w:r w:rsidRPr="008935CC">
        <w:t xml:space="preserve">  Based on CARD’s strained interpretation of what should be considered “financially based</w:t>
      </w:r>
      <w:r w:rsidR="00FB2C4B">
        <w:t>,</w:t>
      </w:r>
      <w:r w:rsidRPr="008935CC">
        <w:t>” CARD argues the Commission’s order in Docket No.</w:t>
      </w:r>
      <w:r w:rsidR="00007CE9">
        <w:t> </w:t>
      </w:r>
      <w:r w:rsidRPr="008935CC">
        <w:t>40443 is internally inconsistent.</w:t>
      </w:r>
      <w:r w:rsidRPr="008935CC">
        <w:rPr>
          <w:rStyle w:val="FootnoteReference"/>
        </w:rPr>
        <w:footnoteReference w:id="384"/>
      </w:r>
      <w:r w:rsidRPr="008935CC">
        <w:t xml:space="preserve">  However, the order is not inconsistent because the Commission specifically found that the RSUs are not based on financial measures.  </w:t>
      </w:r>
    </w:p>
    <w:p w14:paraId="679CAB7E" w14:textId="77777777" w:rsidR="00B00B7F" w:rsidRPr="008935CC" w:rsidRDefault="00B00B7F" w:rsidP="00B00B7F">
      <w:r w:rsidRPr="008935CC">
        <w:t>OPUC cites the Commission’s holding in Docket No. 39896, claiming that the RSUs are financially based incentive compensation that “most immediately and predominately” benefits shareholders.</w:t>
      </w:r>
      <w:r w:rsidRPr="008935CC">
        <w:rPr>
          <w:rStyle w:val="FootnoteReference"/>
        </w:rPr>
        <w:footnoteReference w:id="385"/>
      </w:r>
      <w:r w:rsidRPr="008935CC">
        <w:t xml:space="preserve">  However, as the Commission found in Docket No.</w:t>
      </w:r>
      <w:r>
        <w:t> </w:t>
      </w:r>
      <w:r w:rsidRPr="008935CC">
        <w:t xml:space="preserve">40443, RSUs are similar in value to shares of AEP common stock, but are awarded </w:t>
      </w:r>
      <w:r w:rsidRPr="008935CC">
        <w:rPr>
          <w:i/>
        </w:rPr>
        <w:t>solely</w:t>
      </w:r>
      <w:r w:rsidRPr="008935CC">
        <w:t xml:space="preserve"> on an employee’s satisfaction of certain vesting requirements, </w:t>
      </w:r>
      <w:r w:rsidRPr="007807B8">
        <w:rPr>
          <w:b/>
          <w:u w:val="single"/>
        </w:rPr>
        <w:t>without any financial performance targets</w:t>
      </w:r>
      <w:r w:rsidRPr="008935CC">
        <w:t>.</w:t>
      </w:r>
      <w:r w:rsidRPr="008935CC">
        <w:rPr>
          <w:rStyle w:val="FootnoteReference"/>
        </w:rPr>
        <w:footnoteReference w:id="386"/>
      </w:r>
      <w:r w:rsidRPr="008935CC">
        <w:t xml:space="preserve">  The RSUs provide a retention incentive, without which the Company would incur increased hiring, training, </w:t>
      </w:r>
      <w:r w:rsidRPr="008935CC">
        <w:lastRenderedPageBreak/>
        <w:t>and lost productivity costs associated with the inability to retain valuable employees.  Those expenses would be far higher than the RSUs expense in question.</w:t>
      </w:r>
      <w:r w:rsidRPr="008935CC">
        <w:rPr>
          <w:rStyle w:val="FootnoteReference"/>
        </w:rPr>
        <w:footnoteReference w:id="387"/>
      </w:r>
      <w:r w:rsidRPr="008935CC">
        <w:t xml:space="preserve">  Therefore, OPUC and CARD’s argument that the RSUs provide some potential benefit to shareholders is far outweighed by the costs that would be incurred without the RSUs.  The Company’s desire to minimize costs by retaining employees is consistent with the Commission’s guidance that measures related to the “efficient operation of a utility” are a “benefit to sha</w:t>
      </w:r>
      <w:r w:rsidR="00FB2C4B">
        <w:t>reholders and ratepayers alike.”</w:t>
      </w:r>
      <w:r w:rsidRPr="008935CC">
        <w:rPr>
          <w:rStyle w:val="FootnoteReference"/>
        </w:rPr>
        <w:footnoteReference w:id="388"/>
      </w:r>
      <w:r w:rsidRPr="008935CC">
        <w:t xml:space="preserve">  SWEPCO witness Carlin explained that the impact that management may have on a company’s stock price is </w:t>
      </w:r>
      <w:proofErr w:type="gramStart"/>
      <w:r w:rsidRPr="008935CC">
        <w:t>very</w:t>
      </w:r>
      <w:proofErr w:type="gramEnd"/>
      <w:r w:rsidRPr="008935CC">
        <w:t xml:space="preserve"> attenuated, failing to create a significant incentive for participants to do anything other than continue their employment through the RSU vesting dates.</w:t>
      </w:r>
      <w:r w:rsidRPr="008935CC">
        <w:rPr>
          <w:rStyle w:val="FootnoteReference"/>
        </w:rPr>
        <w:footnoteReference w:id="389"/>
      </w:r>
      <w:r w:rsidRPr="008935CC">
        <w:t xml:space="preserve">  Therefore, the ALJs</w:t>
      </w:r>
      <w:r w:rsidR="007807B8">
        <w:t>’</w:t>
      </w:r>
      <w:r w:rsidRPr="008935CC">
        <w:t xml:space="preserve"> recommendation and </w:t>
      </w:r>
      <w:r w:rsidR="007807B8">
        <w:t xml:space="preserve">the </w:t>
      </w:r>
      <w:r w:rsidRPr="008935CC">
        <w:t xml:space="preserve">Commission’s prior treatment of RSUs </w:t>
      </w:r>
      <w:proofErr w:type="gramStart"/>
      <w:r w:rsidRPr="008935CC">
        <w:t>is</w:t>
      </w:r>
      <w:proofErr w:type="gramEnd"/>
      <w:r w:rsidRPr="008935CC">
        <w:t xml:space="preserve"> consistent with </w:t>
      </w:r>
      <w:r w:rsidR="007807B8">
        <w:t xml:space="preserve">the rulings in </w:t>
      </w:r>
      <w:r w:rsidRPr="008935CC">
        <w:t>Docket Nos. 39896 and 40443.</w:t>
      </w:r>
    </w:p>
    <w:p w14:paraId="006BF37E" w14:textId="77777777" w:rsidR="00B00B7F" w:rsidRPr="008935CC" w:rsidRDefault="00B00B7F" w:rsidP="00B00B7F">
      <w:r w:rsidRPr="008935CC">
        <w:t>OPUC argues that some other utilities offer long term incentives</w:t>
      </w:r>
      <w:r w:rsidR="007807B8">
        <w:t>, despite the absence of</w:t>
      </w:r>
      <w:r w:rsidRPr="008935CC">
        <w:t xml:space="preserve"> rate recovery.</w:t>
      </w:r>
      <w:r w:rsidRPr="008935CC">
        <w:rPr>
          <w:rStyle w:val="FootnoteReference"/>
        </w:rPr>
        <w:footnoteReference w:id="390"/>
      </w:r>
      <w:r w:rsidRPr="008935CC">
        <w:t xml:space="preserve">  However, OPUC fails to note the differences between the long term incentive programs </w:t>
      </w:r>
      <w:r w:rsidR="007807B8">
        <w:t xml:space="preserve">not eligible for inclusion in rates, </w:t>
      </w:r>
      <w:r w:rsidRPr="008935CC">
        <w:t>and SWEPCOs</w:t>
      </w:r>
      <w:r w:rsidR="007807B8">
        <w:t>’</w:t>
      </w:r>
      <w:r w:rsidRPr="008935CC">
        <w:t xml:space="preserve"> RSUs.  SWEPCO has already removed the portions of long term incentives the Commission disallowed in its last rate case.</w:t>
      </w:r>
      <w:r w:rsidRPr="008935CC">
        <w:rPr>
          <w:rStyle w:val="FootnoteReference"/>
        </w:rPr>
        <w:footnoteReference w:id="391"/>
      </w:r>
      <w:r w:rsidRPr="008935CC">
        <w:t xml:space="preserve">  Additionally, OPUC argues there is merely “some benefit” to ratepayers from retaining executives, ignoring the cost savings that SWEPCO witness Carlin testified would far outweigh the costs of the RSU expense.</w:t>
      </w:r>
      <w:r w:rsidRPr="008935CC">
        <w:rPr>
          <w:rStyle w:val="FootnoteReference"/>
        </w:rPr>
        <w:footnoteReference w:id="392"/>
      </w:r>
      <w:r w:rsidRPr="008935CC">
        <w:t xml:space="preserve">  </w:t>
      </w:r>
      <w:r w:rsidR="007807B8">
        <w:t>Finally</w:t>
      </w:r>
      <w:r w:rsidRPr="008935CC">
        <w:t>, the ALJs were correct to note that an employee who receives RSUs as part of his or her incentive compensation is taking a risk that the stock will be worth enough in the future to accept the RSU in lieu of cash today; which is a risk borne by the employee, not the ratepayers.</w:t>
      </w:r>
      <w:r w:rsidRPr="008935CC">
        <w:rPr>
          <w:rStyle w:val="FootnoteReference"/>
        </w:rPr>
        <w:footnoteReference w:id="393"/>
      </w:r>
      <w:r w:rsidRPr="008935CC">
        <w:t xml:space="preserve">  </w:t>
      </w:r>
    </w:p>
    <w:p w14:paraId="4868DFC5" w14:textId="77777777" w:rsidR="00B00B7F" w:rsidRPr="008935CC" w:rsidRDefault="00B00B7F" w:rsidP="00B00B7F">
      <w:r w:rsidRPr="008935CC">
        <w:t>CARD and OPUC give no new reasons to depart from Commission precedent in Docket No. 40443 or the ALJs</w:t>
      </w:r>
      <w:r w:rsidR="00FB2C4B">
        <w:t>’</w:t>
      </w:r>
      <w:r w:rsidRPr="008935CC">
        <w:t xml:space="preserve"> recommendation in this case. </w:t>
      </w:r>
    </w:p>
    <w:p w14:paraId="7A5D6ED7" w14:textId="77777777" w:rsidR="00B00B7F" w:rsidRPr="00802364" w:rsidRDefault="00B00B7F" w:rsidP="003A17DF">
      <w:pPr>
        <w:pStyle w:val="Heading2"/>
        <w:numPr>
          <w:ilvl w:val="0"/>
          <w:numId w:val="46"/>
        </w:numPr>
        <w:ind w:hanging="720"/>
      </w:pPr>
      <w:bookmarkStart w:id="55" w:name="_Toc497123846"/>
      <w:r w:rsidRPr="00802364">
        <w:lastRenderedPageBreak/>
        <w:t>Distribution Vegetation Management Expense</w:t>
      </w:r>
      <w:bookmarkEnd w:id="55"/>
    </w:p>
    <w:p w14:paraId="6D723772" w14:textId="77777777" w:rsidR="00B00B7F" w:rsidRDefault="00B00B7F" w:rsidP="00B00B7F">
      <w:r>
        <w:t xml:space="preserve">Staff contests the PFD’s recommendation that allows SWEPCO to include $2 million in rates </w:t>
      </w:r>
      <w:r w:rsidR="00F925D2">
        <w:t xml:space="preserve">for vegetation management </w:t>
      </w:r>
      <w:r>
        <w:t xml:space="preserve">above and beyond the test year level amount of $7.3 million, which amounts to a total recovery of $9.3 million.  </w:t>
      </w:r>
      <w:r w:rsidRPr="00CF6C0B">
        <w:t xml:space="preserve">Staff argues </w:t>
      </w:r>
      <w:r>
        <w:t xml:space="preserve">that </w:t>
      </w:r>
      <w:r w:rsidRPr="00CF6C0B">
        <w:t>the Company’s request “seeks to upend the ratemaking scheme based on historical test years by requesting</w:t>
      </w:r>
      <w:r>
        <w:t>,</w:t>
      </w:r>
      <w:r w:rsidRPr="00CF6C0B">
        <w:t xml:space="preserve"> in advance</w:t>
      </w:r>
      <w:r>
        <w:t>,</w:t>
      </w:r>
      <w:r w:rsidRPr="00CF6C0B">
        <w:t xml:space="preserve"> recovery of costs it chose not spend in the test year, even though SWEPCO was capable of doing so.”</w:t>
      </w:r>
      <w:r w:rsidRPr="00CF6C0B">
        <w:rPr>
          <w:position w:val="6"/>
          <w:sz w:val="16"/>
        </w:rPr>
        <w:footnoteReference w:id="394"/>
      </w:r>
      <w:r w:rsidRPr="003E78A2">
        <w:t xml:space="preserve"> </w:t>
      </w:r>
      <w:r>
        <w:t xml:space="preserve">Staff raises no new </w:t>
      </w:r>
      <w:r w:rsidR="00F925D2">
        <w:t>arguments</w:t>
      </w:r>
      <w:r>
        <w:t xml:space="preserve"> in its Exceptions </w:t>
      </w:r>
      <w:r w:rsidR="00F925D2">
        <w:t xml:space="preserve">different </w:t>
      </w:r>
      <w:r>
        <w:t xml:space="preserve">from </w:t>
      </w:r>
      <w:r w:rsidR="00F925D2">
        <w:t>those already considered and rejected by the ALJs</w:t>
      </w:r>
      <w:r>
        <w:t xml:space="preserve">.  </w:t>
      </w:r>
    </w:p>
    <w:p w14:paraId="51C60EAB" w14:textId="77777777" w:rsidR="00B00B7F" w:rsidRPr="002B6EEF" w:rsidRDefault="00B00B7F" w:rsidP="00B00B7F">
      <w:pPr>
        <w:rPr>
          <w:rFonts w:cs="Cordia New"/>
          <w:szCs w:val="22"/>
        </w:rPr>
      </w:pPr>
      <w:r w:rsidRPr="002B6EEF">
        <w:rPr>
          <w:rFonts w:cs="Cordia New"/>
          <w:szCs w:val="22"/>
        </w:rPr>
        <w:t xml:space="preserve">SWEPCO’s proposal </w:t>
      </w:r>
      <w:r>
        <w:t xml:space="preserve">to recover $2 million in increased </w:t>
      </w:r>
      <w:r w:rsidR="00F925D2">
        <w:t>O&amp;M expenses</w:t>
      </w:r>
      <w:r>
        <w:t xml:space="preserve"> </w:t>
      </w:r>
      <w:r w:rsidRPr="002B6EEF">
        <w:rPr>
          <w:rFonts w:cs="Cordia New"/>
          <w:szCs w:val="22"/>
        </w:rPr>
        <w:t>is based on the same rationale as its request for funds above test year that was approved in its previous rate case, Docket No. 40443.</w:t>
      </w:r>
      <w:r w:rsidRPr="002B6EEF">
        <w:rPr>
          <w:rFonts w:cs="Cordia New"/>
          <w:szCs w:val="22"/>
          <w:vertAlign w:val="superscript"/>
        </w:rPr>
        <w:footnoteReference w:id="395"/>
      </w:r>
      <w:r w:rsidRPr="002B6EEF">
        <w:rPr>
          <w:rFonts w:cs="Cordia New"/>
          <w:szCs w:val="22"/>
        </w:rPr>
        <w:t xml:space="preserve">  Furthermore, in Docket No. 40443 Finding of Fact 184, the Commission found that SWEPCO committed to spend the entirety of the increased amounts for distribution O&amp;M expense</w:t>
      </w:r>
      <w:r w:rsidR="00F925D2">
        <w:rPr>
          <w:rFonts w:cs="Cordia New"/>
          <w:szCs w:val="22"/>
        </w:rPr>
        <w:t>,</w:t>
      </w:r>
      <w:r w:rsidRPr="002B6EEF">
        <w:rPr>
          <w:rFonts w:cs="Cordia New"/>
          <w:szCs w:val="22"/>
        </w:rPr>
        <w:t xml:space="preserve"> providing </w:t>
      </w:r>
      <w:proofErr w:type="gramStart"/>
      <w:r w:rsidRPr="002B6EEF">
        <w:rPr>
          <w:rFonts w:cs="Cordia New"/>
          <w:szCs w:val="22"/>
        </w:rPr>
        <w:t xml:space="preserve">certainty </w:t>
      </w:r>
      <w:r w:rsidR="00F925D2">
        <w:rPr>
          <w:rFonts w:cs="Cordia New"/>
          <w:szCs w:val="22"/>
        </w:rPr>
        <w:t xml:space="preserve">regarding the future level </w:t>
      </w:r>
      <w:r w:rsidRPr="002B6EEF">
        <w:rPr>
          <w:rFonts w:cs="Cordia New"/>
          <w:szCs w:val="22"/>
        </w:rPr>
        <w:t>of spend</w:t>
      </w:r>
      <w:proofErr w:type="gramEnd"/>
      <w:r w:rsidRPr="002B6EEF">
        <w:rPr>
          <w:rFonts w:cs="Cordia New"/>
          <w:szCs w:val="22"/>
        </w:rPr>
        <w:t xml:space="preserve"> that supports the costs as known and measurable.  </w:t>
      </w:r>
      <w:r>
        <w:rPr>
          <w:rFonts w:cs="Cordia New"/>
          <w:szCs w:val="22"/>
        </w:rPr>
        <w:t>T</w:t>
      </w:r>
      <w:r w:rsidRPr="002B6EEF">
        <w:rPr>
          <w:rFonts w:cs="Cordia New"/>
          <w:szCs w:val="22"/>
        </w:rPr>
        <w:t>he Company is proposing the exact same commitment for the additional funding in this case.</w:t>
      </w:r>
      <w:r w:rsidRPr="002B6EEF">
        <w:rPr>
          <w:rFonts w:cs="Cordia New"/>
          <w:szCs w:val="22"/>
          <w:vertAlign w:val="superscript"/>
        </w:rPr>
        <w:footnoteReference w:id="396"/>
      </w:r>
      <w:r w:rsidRPr="002B6EEF">
        <w:rPr>
          <w:rFonts w:cs="Cordia New"/>
          <w:szCs w:val="22"/>
        </w:rPr>
        <w:t xml:space="preserve">  These findings support that the additional funding requested in the present case</w:t>
      </w:r>
      <w:r w:rsidR="00474EC4">
        <w:rPr>
          <w:rFonts w:cs="Cordia New"/>
          <w:szCs w:val="22"/>
        </w:rPr>
        <w:t>,</w:t>
      </w:r>
      <w:r w:rsidRPr="002B6EEF">
        <w:rPr>
          <w:rFonts w:cs="Cordia New"/>
          <w:szCs w:val="22"/>
        </w:rPr>
        <w:t xml:space="preserve"> based on the same exact rationale in Docket No. 40443</w:t>
      </w:r>
      <w:r w:rsidR="00474EC4">
        <w:rPr>
          <w:rFonts w:cs="Cordia New"/>
          <w:szCs w:val="22"/>
        </w:rPr>
        <w:t>,</w:t>
      </w:r>
      <w:r w:rsidRPr="002B6EEF">
        <w:rPr>
          <w:rFonts w:cs="Cordia New"/>
          <w:szCs w:val="22"/>
        </w:rPr>
        <w:t xml:space="preserve"> should be found to be reasonable, </w:t>
      </w:r>
      <w:r w:rsidR="00474EC4">
        <w:rPr>
          <w:rFonts w:cs="Cordia New"/>
          <w:szCs w:val="22"/>
        </w:rPr>
        <w:t>necessary</w:t>
      </w:r>
      <w:r w:rsidRPr="002B6EEF">
        <w:rPr>
          <w:rFonts w:cs="Cordia New"/>
          <w:szCs w:val="22"/>
        </w:rPr>
        <w:t xml:space="preserve">, and known and measurable. </w:t>
      </w:r>
    </w:p>
    <w:p w14:paraId="362D9282" w14:textId="77777777" w:rsidR="00B00B7F" w:rsidRDefault="00B00B7F" w:rsidP="00B00B7F">
      <w:r>
        <w:t>Staff continues to recognize the Company’s circumstances in addressing distribution vegetation management in its service area.  Nevertheless, Staff’s focus in seeking denial of SWEPCO’s request appears to be that Company should spend more on vegetation management without asking for Commission pre-approval for additional funds in this rate case, contrary to what the Company previously did in Docket No. 40443.</w:t>
      </w:r>
      <w:r>
        <w:rPr>
          <w:rStyle w:val="FootnoteReference"/>
        </w:rPr>
        <w:footnoteReference w:id="397"/>
      </w:r>
      <w:r>
        <w:t xml:space="preserve">  Staff </w:t>
      </w:r>
      <w:r w:rsidR="00474EC4">
        <w:t xml:space="preserve">attempts to paint SWEPCO’s efforts in a negative light by citing </w:t>
      </w:r>
      <w:r>
        <w:t xml:space="preserve">evidence that </w:t>
      </w:r>
      <w:r w:rsidR="00474EC4">
        <w:t>the Company</w:t>
      </w:r>
      <w:r>
        <w:t xml:space="preserve"> on average</w:t>
      </w:r>
      <w:r w:rsidR="00474EC4">
        <w:t xml:space="preserve"> has spent</w:t>
      </w:r>
      <w:r>
        <w:t xml:space="preserve"> $6.6 million </w:t>
      </w:r>
      <w:r w:rsidR="00474EC4">
        <w:t xml:space="preserve">annually </w:t>
      </w:r>
      <w:r>
        <w:t>on vegetation since the last base rate.</w:t>
      </w:r>
      <w:r>
        <w:rPr>
          <w:rStyle w:val="FootnoteReference"/>
        </w:rPr>
        <w:footnoteReference w:id="398"/>
      </w:r>
      <w:r>
        <w:t xml:space="preserve">  However, Staff omits SWEPCO’s complete </w:t>
      </w:r>
      <w:r>
        <w:lastRenderedPageBreak/>
        <w:t>explanation that the spend level</w:t>
      </w:r>
      <w:r w:rsidR="005A2CA5">
        <w:t>, which</w:t>
      </w:r>
      <w:r>
        <w:t xml:space="preserve"> has been variable for a number of reasons, including the impact of the timing of the Docket No. 40443 approval on additional spend and matters impacting end of year work completion.</w:t>
      </w:r>
      <w:r>
        <w:rPr>
          <w:rStyle w:val="FootnoteReference"/>
        </w:rPr>
        <w:footnoteReference w:id="399"/>
      </w:r>
      <w:r>
        <w:t xml:space="preserve"> </w:t>
      </w:r>
      <w:r w:rsidR="00007CE9">
        <w:t xml:space="preserve"> </w:t>
      </w:r>
      <w:r>
        <w:t>For example, SWEPCO spent $10.3 million in 2014, which included an amount carried over from 2013 following the approval of Docket No.</w:t>
      </w:r>
      <w:r w:rsidR="005A2CA5">
        <w:t> </w:t>
      </w:r>
      <w:r>
        <w:t>40443.</w:t>
      </w:r>
      <w:r>
        <w:rPr>
          <w:rStyle w:val="FootnoteReference"/>
        </w:rPr>
        <w:footnoteReference w:id="400"/>
      </w:r>
      <w:r>
        <w:t xml:space="preserve">  In fact, SWEPCO </w:t>
      </w:r>
      <w:r w:rsidR="00751EF2">
        <w:t xml:space="preserve">spent </w:t>
      </w:r>
      <w:r>
        <w:t>$7.3 million</w:t>
      </w:r>
      <w:r w:rsidR="00751EF2">
        <w:t xml:space="preserve"> in the test year</w:t>
      </w:r>
      <w:r>
        <w:t xml:space="preserve">, which is in excess of SWEPCO’s current $6.8 million level in rates, </w:t>
      </w:r>
      <w:r w:rsidR="00751EF2">
        <w:t xml:space="preserve">a point acknowledged only </w:t>
      </w:r>
      <w:r>
        <w:t xml:space="preserve">in a footnote to </w:t>
      </w:r>
      <w:r w:rsidR="00751EF2">
        <w:t>Staff’s</w:t>
      </w:r>
      <w:r>
        <w:t xml:space="preserve"> </w:t>
      </w:r>
      <w:r w:rsidR="00751EF2">
        <w:t>e</w:t>
      </w:r>
      <w:r>
        <w:t>xceptions.</w:t>
      </w:r>
      <w:r>
        <w:rPr>
          <w:rStyle w:val="FootnoteReference"/>
        </w:rPr>
        <w:footnoteReference w:id="401"/>
      </w:r>
      <w:r>
        <w:t xml:space="preserve">  Notwithstanding, Staff recommends that SWEPCO </w:t>
      </w:r>
      <w:r w:rsidR="00751EF2">
        <w:t xml:space="preserve">should simply </w:t>
      </w:r>
      <w:r>
        <w:t>spend more</w:t>
      </w:r>
      <w:r w:rsidR="00751EF2">
        <w:t xml:space="preserve">, while at the same time has recommended very significant reductions in SWEPCO’s proposed revenue requirement to arrive at what it considers an appropriate adjusted test year level. </w:t>
      </w:r>
    </w:p>
    <w:p w14:paraId="0D5A5DA5" w14:textId="77777777" w:rsidR="00B00B7F" w:rsidRPr="00440290" w:rsidRDefault="00B00B7F" w:rsidP="00B00B7F">
      <w:r>
        <w:t xml:space="preserve">Staff’s </w:t>
      </w:r>
      <w:r w:rsidR="001852AB">
        <w:t>e</w:t>
      </w:r>
      <w:r>
        <w:t>xceptions ignore the evidence that demonstrates that SWEPCO would like to achieve a vegetation management program, such as a 4-year cycle, but that doing so would cost $30.6 million, which is cost prohibitive.  As SWEPCO witness Albert Smoak testified, the Company felt this approach would be too costly for customers to absorb all at once.</w:t>
      </w:r>
      <w:r>
        <w:rPr>
          <w:rStyle w:val="FootnoteReference"/>
        </w:rPr>
        <w:footnoteReference w:id="402"/>
      </w:r>
      <w:r>
        <w:t xml:space="preserve">  </w:t>
      </w:r>
      <w:r w:rsidRPr="00440290">
        <w:t>SWEPCO’s request</w:t>
      </w:r>
      <w:r>
        <w:t xml:space="preserve"> of</w:t>
      </w:r>
      <w:r w:rsidRPr="00440290">
        <w:t xml:space="preserve"> $2 million increase above test year in this case is reasonable and necessary to carry forward the Company’s vegetation management program.  The increase in spend will improve overall reliability on targeted circuits, decrease outages caused by trees, and will be used solely for vegetation management.</w:t>
      </w:r>
      <w:r w:rsidRPr="00440290">
        <w:rPr>
          <w:sz w:val="20"/>
          <w:vertAlign w:val="superscript"/>
        </w:rPr>
        <w:footnoteReference w:id="403"/>
      </w:r>
      <w:r>
        <w:t xml:space="preserve">  The PFD correctly recognizes this reasonable approach to the benefit of SWEPCO’s customers and recommends approval of the additional $2 million.</w:t>
      </w:r>
    </w:p>
    <w:p w14:paraId="5EC7434E" w14:textId="77777777" w:rsidR="00B00B7F" w:rsidRDefault="00B00B7F" w:rsidP="00B00B7F">
      <w:r>
        <w:t xml:space="preserve">Finally, Staff’s </w:t>
      </w:r>
      <w:r w:rsidR="00751EF2">
        <w:t>e</w:t>
      </w:r>
      <w:r>
        <w:t xml:space="preserve">xceptions incorrectly </w:t>
      </w:r>
      <w:r w:rsidR="00751EF2">
        <w:t>claim</w:t>
      </w:r>
      <w:r>
        <w:t xml:space="preserve"> that the </w:t>
      </w:r>
      <w:r w:rsidRPr="00751EF2">
        <w:t>Commission</w:t>
      </w:r>
      <w:r>
        <w:t xml:space="preserve"> </w:t>
      </w:r>
      <w:r w:rsidR="00751EF2">
        <w:t xml:space="preserve">has pre-judged this issue, by </w:t>
      </w:r>
      <w:r>
        <w:t>express</w:t>
      </w:r>
      <w:r w:rsidR="00751EF2">
        <w:t>ing</w:t>
      </w:r>
      <w:r>
        <w:t xml:space="preserve"> at an open meeting that SWEPCO would likely not continue to receive approval </w:t>
      </w:r>
      <w:r w:rsidR="00EF778E">
        <w:t xml:space="preserve">of </w:t>
      </w:r>
      <w:r>
        <w:t>additional amounts of distribution management expense.</w:t>
      </w:r>
      <w:r>
        <w:rPr>
          <w:rStyle w:val="FootnoteReference"/>
        </w:rPr>
        <w:footnoteReference w:id="404"/>
      </w:r>
      <w:r>
        <w:t xml:space="preserve">  The open meeting discussion that Staff cites to occurred in a non-rate case SWEPCO matter and no actions were </w:t>
      </w:r>
      <w:r>
        <w:lastRenderedPageBreak/>
        <w:t>taken by the Commission in that matter with respect to SWEPCO’s level of distribution vegetation management spend.</w:t>
      </w:r>
      <w:r>
        <w:rPr>
          <w:rStyle w:val="FootnoteReference"/>
        </w:rPr>
        <w:footnoteReference w:id="405"/>
      </w:r>
      <w:r>
        <w:t xml:space="preserve">  In that matter, Commissioner Anderson generally expressed </w:t>
      </w:r>
      <w:r w:rsidR="00751EF2">
        <w:t>concerns</w:t>
      </w:r>
      <w:r>
        <w:t xml:space="preserve"> regarding SWEPCO’s vegetation management practice history and the Company’s past requests for additional vegetation management funding to address reliability issues through tree trimming.</w:t>
      </w:r>
      <w:r>
        <w:rPr>
          <w:rStyle w:val="FootnoteReference"/>
        </w:rPr>
        <w:footnoteReference w:id="406"/>
      </w:r>
      <w:r>
        <w:t xml:space="preserve">  In fact, </w:t>
      </w:r>
      <w:r w:rsidRPr="00CE1B85">
        <w:t>in the open meeting discussion, Commissioner Anderson in an exchange with Tom Brice</w:t>
      </w:r>
      <w:r w:rsidR="00751EF2">
        <w:t>,</w:t>
      </w:r>
      <w:r w:rsidRPr="00CE1B85">
        <w:t xml:space="preserve"> a SWEPCO witness in this matter</w:t>
      </w:r>
      <w:r w:rsidR="00751EF2">
        <w:t>,</w:t>
      </w:r>
      <w:r w:rsidRPr="00CE1B85">
        <w:t xml:space="preserve"> agreed with and commended SWEPCO for applying additional funding authorized in Docket No. 40443 towards meeting its objective to improve reliability and performance on targeted circuits.</w:t>
      </w:r>
      <w:r w:rsidRPr="00CE1B85">
        <w:rPr>
          <w:sz w:val="20"/>
          <w:vertAlign w:val="superscript"/>
        </w:rPr>
        <w:footnoteReference w:id="407"/>
      </w:r>
      <w:r>
        <w:t xml:space="preserve">  Thus, contrary to Staff’s assertions, the Commission did not and has not expressed any pre-determination that SWEPCO’s request for additional funding would likely be denied.  The Commission should adopt the PFD as the more reasonable and measured approach to carry forward SWEPCO’s distribution vegetation management program.</w:t>
      </w:r>
    </w:p>
    <w:p w14:paraId="1D6DE24D" w14:textId="77777777" w:rsidR="001649C1" w:rsidRDefault="001649C1" w:rsidP="003A17DF">
      <w:pPr>
        <w:pStyle w:val="Heading2"/>
        <w:numPr>
          <w:ilvl w:val="0"/>
          <w:numId w:val="47"/>
        </w:numPr>
        <w:ind w:hanging="720"/>
      </w:pPr>
      <w:bookmarkStart w:id="56" w:name="_Toc497123847"/>
      <w:r>
        <w:t>Injuries and Damages</w:t>
      </w:r>
      <w:bookmarkEnd w:id="56"/>
    </w:p>
    <w:p w14:paraId="1B8F6B15" w14:textId="77777777" w:rsidR="001649C1" w:rsidRDefault="001649C1" w:rsidP="001649C1">
      <w:r w:rsidRPr="001D0B91">
        <w:t>An adjustment to SWEPCO’s test year injuries and damages was ordered by the Commission in Docket No. 40443.  In that case, the Commission found the test year injuries and damages expense substantially exceeded the amount incurred during the previous three years and adjusted the test year costs by the amount that the test year exceeded the average of the previous three years.</w:t>
      </w:r>
      <w:r w:rsidRPr="001D0B91">
        <w:rPr>
          <w:vertAlign w:val="superscript"/>
        </w:rPr>
        <w:footnoteReference w:id="408"/>
      </w:r>
      <w:r w:rsidRPr="001D0B91">
        <w:t xml:space="preserve">  </w:t>
      </w:r>
      <w:r>
        <w:t>The ALJs in this proceeding make a similar finding and, as a result, recommend the Commission follow the precedent set in Docket No. 40443 in fashioning an adjustment to SWEPCO’s actual test year expenses.  In its initial brief, Commission Staff commented that such an adjustment fashioned after that made in Docket No. 40443 “</w:t>
      </w:r>
      <w:r w:rsidRPr="00793C72">
        <w:t xml:space="preserve">would not </w:t>
      </w:r>
      <w:r>
        <w:t xml:space="preserve">yield </w:t>
      </w:r>
      <w:r w:rsidRPr="00793C72">
        <w:t>an unreasonable result.</w:t>
      </w:r>
      <w:r>
        <w:t>”</w:t>
      </w:r>
      <w:r w:rsidRPr="00793C72">
        <w:rPr>
          <w:vertAlign w:val="superscript"/>
        </w:rPr>
        <w:footnoteReference w:id="409"/>
      </w:r>
      <w:r>
        <w:t xml:space="preserve">  Accordingly, the ALJs in this proceeding reason:</w:t>
      </w:r>
    </w:p>
    <w:p w14:paraId="680BC690" w14:textId="77777777" w:rsidR="001649C1" w:rsidRDefault="001649C1" w:rsidP="00FB2C4B">
      <w:pPr>
        <w:spacing w:line="240" w:lineRule="auto"/>
        <w:ind w:left="720" w:right="720" w:firstLine="0"/>
      </w:pPr>
      <w:r w:rsidRPr="008E6792">
        <w:t xml:space="preserve">In SWEPCO Docket No. 40443, the Commission used a 3-year average to </w:t>
      </w:r>
      <w:r w:rsidRPr="008E6792">
        <w:lastRenderedPageBreak/>
        <w:t>normalize test year injuries and damages expenses.  CARD’s insistence on a 5-year average is not consistent with Commission precedent, and is not reasonable.  While Staff also used a 5-year average initially to recommend a disallowance of $1,004,000, its position in brief (that a total company disallowance of $837,667 is not unreasonable) reaches a reasonable result that normalizes the test year to bring it more in line with the 3</w:t>
      </w:r>
      <w:r>
        <w:t>-</w:t>
      </w:r>
      <w:r w:rsidRPr="008E6792">
        <w:t>year average standard the Commission used in SWEPCO Docket No. 40443.</w:t>
      </w:r>
      <w:r>
        <w:rPr>
          <w:rStyle w:val="FootnoteReference"/>
        </w:rPr>
        <w:footnoteReference w:id="410"/>
      </w:r>
    </w:p>
    <w:p w14:paraId="26CD7C86" w14:textId="77777777" w:rsidR="001649C1" w:rsidRDefault="001649C1" w:rsidP="001649C1">
      <w:pPr>
        <w:spacing w:line="240" w:lineRule="auto"/>
        <w:ind w:left="1440" w:right="1440"/>
      </w:pPr>
    </w:p>
    <w:p w14:paraId="342EDDF9" w14:textId="77777777" w:rsidR="001649C1" w:rsidRDefault="001649C1" w:rsidP="001649C1">
      <w:r>
        <w:t xml:space="preserve">Although all of its expenses incurred during the test year for this category of expense were reasonable and necessary, </w:t>
      </w:r>
      <w:r w:rsidRPr="00655340">
        <w:t>SWEPCO d</w:t>
      </w:r>
      <w:r>
        <w:t xml:space="preserve">id not oppose </w:t>
      </w:r>
      <w:r w:rsidRPr="00655340">
        <w:t xml:space="preserve">an adjustment to its test year expense </w:t>
      </w:r>
      <w:r>
        <w:t>fashioned after that imposed in Docket No. 40443</w:t>
      </w:r>
      <w:r w:rsidRPr="00655340">
        <w:t>.</w:t>
      </w:r>
      <w:r w:rsidRPr="00655340">
        <w:rPr>
          <w:vertAlign w:val="superscript"/>
        </w:rPr>
        <w:footnoteReference w:id="411"/>
      </w:r>
    </w:p>
    <w:p w14:paraId="05066344" w14:textId="77777777" w:rsidR="001649C1" w:rsidRDefault="001649C1" w:rsidP="001649C1">
      <w:r>
        <w:t>In their exceptions, Staff and CARD advocate for a five-year averaging of this category of expenses but struggle to articulate why the Commission should decline to follow the precedent set in Docket No. 40443.  CARD writes that the Commission’s decision in Docket No. 40443 “does not preclude the use of a five-year average instead of a three-year average.”</w:t>
      </w:r>
      <w:r>
        <w:rPr>
          <w:rStyle w:val="FootnoteReference"/>
        </w:rPr>
        <w:footnoteReference w:id="412"/>
      </w:r>
      <w:r>
        <w:t xml:space="preserve">  Staff writes, “[w]hile a three-year average was used in SWEPCO’s last base rate case, SWEPCO has not shown that a longer averaging period can never be used and cannot be reasonable.”</w:t>
      </w:r>
      <w:r>
        <w:rPr>
          <w:rStyle w:val="FootnoteReference"/>
        </w:rPr>
        <w:footnoteReference w:id="413"/>
      </w:r>
      <w:r>
        <w:t xml:space="preserve">  But the question is not whether the Docket No. 40443 decision “precludes” the use of a five-year average or whether SWEPCO has demonstrated that a five-year average “can never be used.”  Instead, the question is whether there is a compelling reason to depart from the Docket No. 40443 precedent in this proceeding.  Neither CARD nor Staff gives any compelling reason why a five-year average should be used in this case </w:t>
      </w:r>
      <w:r w:rsidRPr="002B3A9F">
        <w:t xml:space="preserve">and not </w:t>
      </w:r>
      <w:r w:rsidRPr="00646D69">
        <w:t xml:space="preserve">the </w:t>
      </w:r>
      <w:r w:rsidRPr="00646D69">
        <w:rPr>
          <w:b/>
          <w:i/>
        </w:rPr>
        <w:t>more contemporaneous</w:t>
      </w:r>
      <w:r w:rsidRPr="00646D69">
        <w:t xml:space="preserve"> three-year average </w:t>
      </w:r>
      <w:r w:rsidRPr="002B3A9F">
        <w:t>of the total injuries and damages expense that was used in Docket No. 40443</w:t>
      </w:r>
      <w:r>
        <w:t>.</w:t>
      </w:r>
    </w:p>
    <w:p w14:paraId="611AD7F5" w14:textId="77777777" w:rsidR="001649C1" w:rsidRPr="00B628ED" w:rsidRDefault="001649C1" w:rsidP="001649C1">
      <w:r>
        <w:t xml:space="preserve">Staff’s position in its exceptions is rendered even more perplexing by the fact that Staff had already stated that a three-year averaging would not lead to an unreasonable result under these circumstances – a statement the ALJs relied on.  The exceptions of CARD and Staff on this issue seem to boil down to the proposition that, if the Commission determines that a </w:t>
      </w:r>
      <w:r>
        <w:lastRenderedPageBreak/>
        <w:t>normalization adjustment is warranted, the historical time period used to fashion such a normalization adjustment will be chosen to maximize the disallowance of legitimately and reasonably incurred test year costs incurred by the utility.  This is a proposition that the Commission should not and cannot adopt given that, by law, rates are to be set to allow the utility to recover its “reasonable and necessary operating expenses.”</w:t>
      </w:r>
      <w:r>
        <w:rPr>
          <w:rStyle w:val="FootnoteReference"/>
        </w:rPr>
        <w:footnoteReference w:id="414"/>
      </w:r>
    </w:p>
    <w:p w14:paraId="5DDBAAF1" w14:textId="77777777" w:rsidR="001649C1" w:rsidRDefault="001649C1" w:rsidP="00A54D5C">
      <w:pPr>
        <w:pStyle w:val="Heading2"/>
        <w:keepNext w:val="0"/>
        <w:ind w:hanging="720"/>
      </w:pPr>
      <w:bookmarkStart w:id="57" w:name="_Toc497123848"/>
      <w:r>
        <w:t>Directors’/Officers’ Liability Insurance</w:t>
      </w:r>
      <w:bookmarkEnd w:id="57"/>
      <w:r>
        <w:t xml:space="preserve"> </w:t>
      </w:r>
    </w:p>
    <w:p w14:paraId="4F39D0B1" w14:textId="77777777" w:rsidR="00A54D5C" w:rsidRPr="009B7022" w:rsidRDefault="00A54D5C" w:rsidP="00A54D5C">
      <w:pPr>
        <w:widowControl/>
      </w:pPr>
      <w:r w:rsidRPr="009B7022">
        <w:t xml:space="preserve">PURA requires the Commission to establish rates that will permit the utility a reasonable opportunity to earn a reasonable return on the </w:t>
      </w:r>
      <w:proofErr w:type="gramStart"/>
      <w:r w:rsidRPr="009B7022">
        <w:t>utility’s</w:t>
      </w:r>
      <w:proofErr w:type="gramEnd"/>
      <w:r w:rsidRPr="009B7022">
        <w:t xml:space="preserve"> prudently invested capital “in excess of the utility’s reasonable and necessary operating expenses.”</w:t>
      </w:r>
      <w:r w:rsidRPr="009B7022">
        <w:rPr>
          <w:vertAlign w:val="superscript"/>
        </w:rPr>
        <w:footnoteReference w:id="415"/>
      </w:r>
      <w:r w:rsidRPr="009B7022">
        <w:t xml:space="preserve">  OPUC witness Mr. Marcus concedes in his direct testimony the existence of directors’ and officers’ (D&amp;O) liability insurance “does improve the ability to attract and retain qualified directors and officers and enables them to make decisions without fear of personal liability.”</w:t>
      </w:r>
      <w:r w:rsidRPr="009B7022">
        <w:rPr>
          <w:vertAlign w:val="superscript"/>
        </w:rPr>
        <w:footnoteReference w:id="416"/>
      </w:r>
      <w:r w:rsidRPr="009B7022">
        <w:t xml:space="preserve">  The Commission expressly found in Docket No. 40443 that SWEPCO’s D&amp;O insurance expense was an element of SWEPCO’s reasonable and necessary operating expenses.</w:t>
      </w:r>
      <w:r w:rsidRPr="009B7022">
        <w:rPr>
          <w:vertAlign w:val="superscript"/>
        </w:rPr>
        <w:footnoteReference w:id="417"/>
      </w:r>
      <w:r>
        <w:t xml:space="preserve">  The exceptions of OPUC fail to disclose that the Commission has already ruled on this issue.</w:t>
      </w:r>
    </w:p>
    <w:p w14:paraId="7807FAC7" w14:textId="77777777" w:rsidR="00A54D5C" w:rsidRPr="009B7022" w:rsidRDefault="00A54D5C" w:rsidP="00A54D5C">
      <w:pPr>
        <w:rPr>
          <w:spacing w:val="-3"/>
        </w:rPr>
      </w:pPr>
      <w:r w:rsidRPr="009B7022">
        <w:t xml:space="preserve">OPUC </w:t>
      </w:r>
      <w:r>
        <w:t xml:space="preserve">urges that 50% </w:t>
      </w:r>
      <w:r w:rsidRPr="009B7022">
        <w:t>of D&amp;O insurance expenses</w:t>
      </w:r>
      <w:r>
        <w:t xml:space="preserve"> be “assigned” to shareholders</w:t>
      </w:r>
      <w:r w:rsidRPr="009B7022">
        <w:t>.</w:t>
      </w:r>
      <w:r w:rsidRPr="009B7022">
        <w:rPr>
          <w:vertAlign w:val="superscript"/>
        </w:rPr>
        <w:footnoteReference w:id="418"/>
      </w:r>
      <w:r w:rsidRPr="009B7022">
        <w:t xml:space="preserve">  “</w:t>
      </w:r>
      <w:r>
        <w:t>Assigni</w:t>
      </w:r>
      <w:r w:rsidRPr="009B7022">
        <w:t xml:space="preserve">ng” </w:t>
      </w:r>
      <w:r>
        <w:t xml:space="preserve">costs to shareholders </w:t>
      </w:r>
      <w:r w:rsidRPr="009B7022">
        <w:t xml:space="preserve">is simply code for a disallowance of 50% of these reasonable and necessary operating expenses.  </w:t>
      </w:r>
      <w:r>
        <w:t>OPUC’s recommended disallowance is no different from the one OPUC proposed in Docket No. 40443.</w:t>
      </w:r>
      <w:r>
        <w:rPr>
          <w:rStyle w:val="FootnoteReference"/>
        </w:rPr>
        <w:footnoteReference w:id="419"/>
      </w:r>
      <w:r>
        <w:t xml:space="preserve">  OPUC writes, “</w:t>
      </w:r>
      <w:proofErr w:type="gramStart"/>
      <w:r>
        <w:t>that</w:t>
      </w:r>
      <w:proofErr w:type="gramEnd"/>
      <w:r>
        <w:t xml:space="preserve"> shareholders are often the beneficiaries of payments made under the insurance is undisputed by SWEPCO.”</w:t>
      </w:r>
      <w:r>
        <w:rPr>
          <w:rStyle w:val="FootnoteReference"/>
        </w:rPr>
        <w:footnoteReference w:id="420"/>
      </w:r>
      <w:r>
        <w:t xml:space="preserve">  However, this claim is not new to the Commission.  I</w:t>
      </w:r>
      <w:r w:rsidRPr="009B7022">
        <w:t xml:space="preserve">n rejecting the same </w:t>
      </w:r>
      <w:r>
        <w:t xml:space="preserve">OPUC </w:t>
      </w:r>
      <w:r w:rsidRPr="009B7022">
        <w:t xml:space="preserve">recommendation in Docket No. 40443, the Commission </w:t>
      </w:r>
      <w:r>
        <w:t xml:space="preserve">acknowledged that the Company itself is the primary </w:t>
      </w:r>
      <w:r>
        <w:lastRenderedPageBreak/>
        <w:t>beneficiary of the policy</w:t>
      </w:r>
      <w:r w:rsidRPr="009B7022">
        <w:t>:</w:t>
      </w:r>
    </w:p>
    <w:p w14:paraId="652C9462" w14:textId="77777777" w:rsidR="00A54D5C" w:rsidRPr="009B7022" w:rsidRDefault="00A54D5C" w:rsidP="00FB2C4B">
      <w:pPr>
        <w:spacing w:after="180" w:line="240" w:lineRule="auto"/>
        <w:ind w:left="1440" w:right="720" w:hanging="720"/>
        <w:rPr>
          <w:spacing w:val="-3"/>
        </w:rPr>
      </w:pPr>
      <w:r w:rsidRPr="009B7022">
        <w:rPr>
          <w:spacing w:val="-3"/>
        </w:rPr>
        <w:t>236.</w:t>
      </w:r>
      <w:r w:rsidRPr="009B7022">
        <w:rPr>
          <w:spacing w:val="-3"/>
        </w:rPr>
        <w:tab/>
        <w:t>AEP and its subsidiaries, including SWEPCO, are the primary beneficiaries of its director and officer liability insurance (DOLI) and fiduciary liability insurance (FLI) policies.  DOLI and FLI policies exist to allow quality directors, officers, and fiduciaries to make sound business decisions without a cloud of uncertainty regarding potential lawsuits hanging over their heads.  These sound business decisions can result in lower costs, which certainly benefit customers.</w:t>
      </w:r>
    </w:p>
    <w:p w14:paraId="7A45699C" w14:textId="77777777" w:rsidR="00A54D5C" w:rsidRPr="009B7022" w:rsidRDefault="00A54D5C" w:rsidP="00FB2C4B">
      <w:pPr>
        <w:spacing w:after="180" w:line="240" w:lineRule="auto"/>
        <w:ind w:left="1440" w:right="720" w:hanging="720"/>
      </w:pPr>
      <w:r w:rsidRPr="009B7022">
        <w:t>237.</w:t>
      </w:r>
      <w:r w:rsidRPr="009B7022">
        <w:tab/>
        <w:t>SWEPCO’s DOLI and FLI expenses are an element of SWEPCO’s reasonable and necessary test-year operating expenses.</w:t>
      </w:r>
      <w:r w:rsidR="00535177">
        <w:rPr>
          <w:rStyle w:val="FootnoteReference"/>
        </w:rPr>
        <w:footnoteReference w:id="421"/>
      </w:r>
    </w:p>
    <w:p w14:paraId="53F18918" w14:textId="77777777" w:rsidR="00A54D5C" w:rsidRPr="009B7022" w:rsidRDefault="00A54D5C" w:rsidP="00A54D5C">
      <w:r w:rsidRPr="009B7022">
        <w:t>OPUC</w:t>
      </w:r>
      <w:r>
        <w:t xml:space="preserve"> argues that </w:t>
      </w:r>
      <w:r w:rsidRPr="009B7022">
        <w:t xml:space="preserve">D&amp;O insurance provides a source of funds to shareholders, </w:t>
      </w:r>
      <w:r>
        <w:t>“</w:t>
      </w:r>
      <w:r w:rsidRPr="009B7022">
        <w:t>above and beyond the return on equity.”</w:t>
      </w:r>
      <w:r w:rsidRPr="009B7022">
        <w:rPr>
          <w:vertAlign w:val="superscript"/>
        </w:rPr>
        <w:footnoteReference w:id="422"/>
      </w:r>
      <w:r w:rsidRPr="009B7022">
        <w:t xml:space="preserve">  This allegation doesn’t make sense.  Insurance of all types protect</w:t>
      </w:r>
      <w:r>
        <w:t>s</w:t>
      </w:r>
      <w:r w:rsidRPr="009B7022">
        <w:t xml:space="preserve"> </w:t>
      </w:r>
      <w:r>
        <w:t xml:space="preserve">beneficiaries </w:t>
      </w:r>
      <w:r w:rsidRPr="009B7022">
        <w:t xml:space="preserve">against loss.  Only if a loss is incurred will insurance make the </w:t>
      </w:r>
      <w:r>
        <w:t xml:space="preserve">beneficiary </w:t>
      </w:r>
      <w:r w:rsidRPr="009B7022">
        <w:t xml:space="preserve">whole.  There is no net </w:t>
      </w:r>
      <w:r>
        <w:t>source of funds</w:t>
      </w:r>
      <w:r w:rsidRPr="009B7022">
        <w:t xml:space="preserve"> to shareholders “above and beyond the return on equity.”</w:t>
      </w:r>
    </w:p>
    <w:p w14:paraId="74254E7C" w14:textId="77777777" w:rsidR="00A54D5C" w:rsidRDefault="00A54D5C" w:rsidP="00A54D5C">
      <w:r w:rsidRPr="009B7022">
        <w:t xml:space="preserve">OPUC speculates that D&amp;O insurance </w:t>
      </w:r>
      <w:r>
        <w:t xml:space="preserve">could </w:t>
      </w:r>
      <w:r w:rsidRPr="009B7022">
        <w:t xml:space="preserve">be used to protect the Company and its shareholders from </w:t>
      </w:r>
      <w:r>
        <w:t>things such as “allegations of inadequate or misleading disclosures to shareholders</w:t>
      </w:r>
      <w:r w:rsidRPr="009B7022">
        <w:t>.”</w:t>
      </w:r>
      <w:r w:rsidRPr="009B7022">
        <w:rPr>
          <w:vertAlign w:val="superscript"/>
        </w:rPr>
        <w:footnoteReference w:id="423"/>
      </w:r>
      <w:r w:rsidRPr="009B7022">
        <w:t xml:space="preserve">  However, even the internet article cited by OPUC </w:t>
      </w:r>
      <w:r>
        <w:t xml:space="preserve">on page 40 of its exceptions </w:t>
      </w:r>
      <w:r w:rsidRPr="009B7022">
        <w:t xml:space="preserve">concedes that </w:t>
      </w:r>
      <w:r>
        <w:t>the “</w:t>
      </w:r>
      <w:r w:rsidRPr="009C7AD5">
        <w:t>insurance company indemnifies the corporation and/or the manager only if the</w:t>
      </w:r>
      <w:r>
        <w:t xml:space="preserve"> </w:t>
      </w:r>
      <w:r w:rsidRPr="009C7AD5">
        <w:t>manager acted in good faith on behalf of the company</w:t>
      </w:r>
      <w:r>
        <w:t xml:space="preserve">” and that </w:t>
      </w:r>
      <w:r w:rsidRPr="009B7022">
        <w:t>“directors often require protection so that their personal wealth is not expropriated in the event of a good faith error.”</w:t>
      </w:r>
      <w:r w:rsidRPr="009B7022">
        <w:rPr>
          <w:vertAlign w:val="superscript"/>
        </w:rPr>
        <w:footnoteReference w:id="424"/>
      </w:r>
      <w:r>
        <w:t xml:space="preserve">  The ALJs in this proceeding correctly observe:</w:t>
      </w:r>
    </w:p>
    <w:p w14:paraId="5640D30C" w14:textId="77777777" w:rsidR="00A54D5C" w:rsidRDefault="00A54D5C" w:rsidP="00535177">
      <w:pPr>
        <w:spacing w:line="240" w:lineRule="auto"/>
        <w:ind w:left="720" w:right="720" w:firstLine="0"/>
      </w:pPr>
      <w:r>
        <w:t>More importantly, shareholders and members of the public often sue company directors and officers for any number of reasons, some meritorious, ma</w:t>
      </w:r>
      <w:r w:rsidR="00535177">
        <w:t>n</w:t>
      </w:r>
      <w:r>
        <w:t>y not so.  However, that is the reason D&amp;O insurance exists – to allow company management and directors “. . . to make sound business decisions without a cloud of uncertainty regarding potential lawsuits hanging over their heads.”</w:t>
      </w:r>
      <w:r>
        <w:rPr>
          <w:rStyle w:val="FootnoteReference"/>
        </w:rPr>
        <w:footnoteReference w:id="425"/>
      </w:r>
    </w:p>
    <w:p w14:paraId="0FED51B3" w14:textId="77777777" w:rsidR="00A54D5C" w:rsidRDefault="00A54D5C" w:rsidP="00A54D5C">
      <w:pPr>
        <w:spacing w:line="240" w:lineRule="auto"/>
      </w:pPr>
    </w:p>
    <w:p w14:paraId="1E63E771" w14:textId="77777777" w:rsidR="00A54D5C" w:rsidRDefault="00A54D5C" w:rsidP="00A54D5C">
      <w:r w:rsidRPr="009B7022">
        <w:t xml:space="preserve">There is no evidence that the amount of D&amp;O insurance expense incurred by SWEPCO </w:t>
      </w:r>
      <w:r w:rsidRPr="009B7022">
        <w:lastRenderedPageBreak/>
        <w:t xml:space="preserve">during the test year was unreasonable.  There is no evidence that SWEPCO was unreasonable in acquiring such insurance.  </w:t>
      </w:r>
      <w:r>
        <w:t>In fact, decades ago, the Commission found:</w:t>
      </w:r>
    </w:p>
    <w:p w14:paraId="79B2A25A" w14:textId="77777777" w:rsidR="00A54D5C" w:rsidRDefault="00A54D5C" w:rsidP="00535177">
      <w:pPr>
        <w:spacing w:line="240" w:lineRule="auto"/>
        <w:ind w:left="720" w:right="720" w:firstLine="0"/>
      </w:pPr>
      <w:r w:rsidRPr="00A3176E">
        <w:t>The cost of directors</w:t>
      </w:r>
      <w:r>
        <w:t>’</w:t>
      </w:r>
      <w:r w:rsidRPr="00A3176E">
        <w:t xml:space="preserve"> liability insurance should be included in cost of</w:t>
      </w:r>
      <w:r>
        <w:t xml:space="preserve"> </w:t>
      </w:r>
      <w:r w:rsidRPr="00A3176E">
        <w:t xml:space="preserve">service. </w:t>
      </w:r>
      <w:r>
        <w:t xml:space="preserve"> </w:t>
      </w:r>
      <w:r w:rsidRPr="00A3176E">
        <w:t>It is difficult to imagine someone being willing to serve as a</w:t>
      </w:r>
      <w:r>
        <w:t xml:space="preserve"> </w:t>
      </w:r>
      <w:r w:rsidRPr="00A3176E">
        <w:t>director of a major corporation without the protection that the liability</w:t>
      </w:r>
      <w:r>
        <w:t xml:space="preserve"> </w:t>
      </w:r>
      <w:r w:rsidRPr="00A3176E">
        <w:t>insurance provides.</w:t>
      </w:r>
      <w:r>
        <w:rPr>
          <w:rStyle w:val="FootnoteReference"/>
        </w:rPr>
        <w:footnoteReference w:id="426"/>
      </w:r>
    </w:p>
    <w:p w14:paraId="550B61C3" w14:textId="77777777" w:rsidR="00A54D5C" w:rsidRDefault="00A54D5C" w:rsidP="00A54D5C">
      <w:pPr>
        <w:spacing w:line="240" w:lineRule="auto"/>
      </w:pPr>
    </w:p>
    <w:p w14:paraId="30B2547A" w14:textId="77777777" w:rsidR="00A54D5C" w:rsidRPr="009B7022" w:rsidRDefault="00A54D5C" w:rsidP="00A54D5C">
      <w:r>
        <w:t xml:space="preserve">OPUC’s recommendation in this case </w:t>
      </w:r>
      <w:r w:rsidRPr="009B7022">
        <w:t>is the same recommendation made by OPUC and rejected by the Commission in Docket No. 40443.</w:t>
      </w:r>
      <w:r w:rsidRPr="009B7022">
        <w:rPr>
          <w:vertAlign w:val="superscript"/>
        </w:rPr>
        <w:footnoteReference w:id="427"/>
      </w:r>
      <w:r w:rsidRPr="009B7022">
        <w:t xml:space="preserve">  There is no basis in fact, law, or Commission precedent to arbitrarily disallow 50% of these expenses.</w:t>
      </w:r>
    </w:p>
    <w:p w14:paraId="445F8F9B" w14:textId="77777777" w:rsidR="001649C1" w:rsidRDefault="001649C1" w:rsidP="001649C1">
      <w:pPr>
        <w:pStyle w:val="Heading2"/>
        <w:ind w:hanging="720"/>
      </w:pPr>
      <w:bookmarkStart w:id="58" w:name="_Toc497123849"/>
      <w:r>
        <w:t>Storm Damage/Storm Recovery Costs</w:t>
      </w:r>
      <w:bookmarkEnd w:id="58"/>
      <w:r>
        <w:t xml:space="preserve"> </w:t>
      </w:r>
    </w:p>
    <w:p w14:paraId="21150B7F" w14:textId="77777777" w:rsidR="00F54027" w:rsidRDefault="00F54027" w:rsidP="00F54027">
      <w:r w:rsidRPr="00513C55">
        <w:t>OPUC recommends a disallowance of more than $1 million of expenses incurred during SWEPCO’s historical test year based on the fact that test year expenses were greater than a five-year average of these same costs.  OPUC recommends that storm damage expense be established on a five-year average of 2011-2015 expenses.</w:t>
      </w:r>
      <w:r w:rsidRPr="00513C55">
        <w:rPr>
          <w:vertAlign w:val="superscript"/>
        </w:rPr>
        <w:footnoteReference w:id="428"/>
      </w:r>
      <w:r>
        <w:t xml:space="preserve">  The exceptions of OPUC go to great length to establish the proposition that, if the test year level of expense is not representative of expected future conditions, it may be proper to normalize the expense over some appropriate historical period of time.  What OPUC fails to disclose in its exceptions is that the ALJs concurred with that proposition.  The ALJs failed to adopt OPUC’s proposed five-year averaging, instead, because OPUC’s proposed five-year averaging would not, under the facts in this case, provide a level of expense representative of that expected to prevail in the future.  The ALJs explain:</w:t>
      </w:r>
    </w:p>
    <w:p w14:paraId="3F66C6FA" w14:textId="77777777" w:rsidR="00F54027" w:rsidRDefault="00F54027" w:rsidP="00535177">
      <w:pPr>
        <w:spacing w:line="240" w:lineRule="auto"/>
        <w:ind w:left="720" w:right="720" w:firstLine="0"/>
      </w:pPr>
      <w:r w:rsidRPr="002077B4">
        <w:t>Mr. Marcus contends that, for expense items like storm damage that are outside the Company’s control, it is proper to normalize the expenses over some appropriate time to assure that “costs used to set rates are representative of expected conditions.”  The ALJs concur.  In this case, however, Mr. Marcus’s exhibit demonstrates that the data for 2011 and 2012 were significantly lower than for 2014, 2015, and the test year, 2016.  If there is a trend, it is that storm damages are tending to increase and 2011 and 2012 are outside the norm and do not reflect the conditions that will prevail when rates are in effect.</w:t>
      </w:r>
      <w:r>
        <w:rPr>
          <w:rStyle w:val="FootnoteReference"/>
        </w:rPr>
        <w:footnoteReference w:id="429"/>
      </w:r>
    </w:p>
    <w:p w14:paraId="64EC355E" w14:textId="77777777" w:rsidR="00F54027" w:rsidRPr="00513C55" w:rsidRDefault="00F54027" w:rsidP="00F54027">
      <w:pPr>
        <w:spacing w:line="240" w:lineRule="auto"/>
        <w:ind w:left="1440" w:right="1440"/>
      </w:pPr>
      <w:r>
        <w:lastRenderedPageBreak/>
        <w:t xml:space="preserve"> </w:t>
      </w:r>
    </w:p>
    <w:p w14:paraId="54C83B1A" w14:textId="77777777" w:rsidR="00F54027" w:rsidRDefault="00F54027" w:rsidP="00F54027">
      <w:r w:rsidRPr="00513C55">
        <w:t xml:space="preserve">The fact is that the test year level of expense was </w:t>
      </w:r>
      <w:r w:rsidRPr="00513C55">
        <w:rPr>
          <w:i/>
        </w:rPr>
        <w:t>less</w:t>
      </w:r>
      <w:r w:rsidRPr="00513C55">
        <w:t xml:space="preserve"> than the amount incurred in 2015.  The average of the two most recent historical years available at the time of filing (2014 and 2015) is $5,169,486 or only $49,753 less than the actual historical test year amount.  Thus the historical test year level of expense is only 3% higher than the average of 2014 and 2015.</w:t>
      </w:r>
      <w:r w:rsidRPr="00513C55">
        <w:rPr>
          <w:vertAlign w:val="superscript"/>
        </w:rPr>
        <w:footnoteReference w:id="430"/>
      </w:r>
      <w:r w:rsidRPr="00513C55">
        <w:t xml:space="preserve">  Such a small deviation does not support a normalization adjustment, nor would it constitute a “known and measurable change” under the Commission’s cost of service rule.  SWEPCO’s Vice President of Distribution Operations testified that the test year level of expenses (1) should be considered normal given his experience with the SWEPCO Texas distribution system and (2) reflects the recent trend of generally increasing costs associated with restoring power when a storm event occurs and the frequency of such events.</w:t>
      </w:r>
      <w:r w:rsidRPr="00513C55">
        <w:rPr>
          <w:vertAlign w:val="superscript"/>
        </w:rPr>
        <w:footnoteReference w:id="431"/>
      </w:r>
    </w:p>
    <w:p w14:paraId="20903A20" w14:textId="77777777" w:rsidR="00F54027" w:rsidRDefault="00F54027" w:rsidP="00F54027">
      <w:r>
        <w:t>The failing of OPUC’s recommendation is not with the general proposition that a normalization adjustment might be proper given the right circumstances.  Instead, OPUC’s recommendation fails because the facts in this case do not support a normalization adjustment and OPUC’s recommended five-year averaging is flawed under the facts in this case.  The ALJs explained:</w:t>
      </w:r>
    </w:p>
    <w:p w14:paraId="5812A3C2" w14:textId="77777777" w:rsidR="00F54027" w:rsidRDefault="00F54027" w:rsidP="00535177">
      <w:pPr>
        <w:spacing w:line="240" w:lineRule="auto"/>
        <w:ind w:left="720" w:right="720" w:firstLine="0"/>
      </w:pPr>
      <w:r w:rsidRPr="00353777">
        <w:t>Arguing that there is a 20% difference between the 5-year average and the test year, as OPUC does, simply reflects that Mr. Marcus included two years – 2011 and 2012 – that were significantly lower than the test year, which dragged down the average statistically.  The evidence shows that 2011 and 2012 do not reflect what the rate year may be, and should not have been used in the normalization calculation.</w:t>
      </w:r>
      <w:r>
        <w:rPr>
          <w:rStyle w:val="FootnoteReference"/>
        </w:rPr>
        <w:footnoteReference w:id="432"/>
      </w:r>
    </w:p>
    <w:p w14:paraId="5E2123EA" w14:textId="77777777" w:rsidR="00F54027" w:rsidRDefault="00F54027" w:rsidP="00F54027">
      <w:pPr>
        <w:spacing w:line="240" w:lineRule="auto"/>
        <w:ind w:left="1440" w:right="1440"/>
      </w:pPr>
    </w:p>
    <w:p w14:paraId="386BAB10" w14:textId="77777777" w:rsidR="001649C1" w:rsidRPr="001649C1" w:rsidRDefault="001649C1" w:rsidP="00355448">
      <w:pPr>
        <w:pStyle w:val="Heading2"/>
        <w:keepNext w:val="0"/>
        <w:numPr>
          <w:ilvl w:val="0"/>
          <w:numId w:val="48"/>
        </w:numPr>
        <w:ind w:hanging="720"/>
        <w:rPr>
          <w:szCs w:val="24"/>
        </w:rPr>
      </w:pPr>
      <w:bookmarkStart w:id="59" w:name="_Toc497123850"/>
      <w:r>
        <w:t>Rate Case and Regulatory Commission Expenses</w:t>
      </w:r>
      <w:bookmarkEnd w:id="59"/>
      <w:r w:rsidRPr="001649C1">
        <w:rPr>
          <w:szCs w:val="24"/>
        </w:rPr>
        <w:t xml:space="preserve"> </w:t>
      </w:r>
    </w:p>
    <w:p w14:paraId="158E639A" w14:textId="77777777" w:rsidR="001649C1" w:rsidRPr="008249D9" w:rsidRDefault="001649C1" w:rsidP="00355448">
      <w:pPr>
        <w:widowControl/>
      </w:pPr>
      <w:r w:rsidRPr="008249D9">
        <w:t>SWEPCO seek</w:t>
      </w:r>
      <w:r>
        <w:t>s</w:t>
      </w:r>
      <w:r w:rsidRPr="008249D9">
        <w:t xml:space="preserve"> </w:t>
      </w:r>
      <w:r>
        <w:t xml:space="preserve">and the PFD recommends surcharge </w:t>
      </w:r>
      <w:r w:rsidRPr="008249D9">
        <w:t xml:space="preserve">recovery </w:t>
      </w:r>
      <w:r>
        <w:t xml:space="preserve">(rider RCE) of </w:t>
      </w:r>
      <w:r w:rsidRPr="008249D9">
        <w:t>rate</w:t>
      </w:r>
      <w:r>
        <w:t xml:space="preserve"> </w:t>
      </w:r>
      <w:r w:rsidRPr="008249D9">
        <w:t xml:space="preserve">case expenses incurred in six </w:t>
      </w:r>
      <w:r>
        <w:t xml:space="preserve">prior dockets.  </w:t>
      </w:r>
      <w:r w:rsidRPr="008249D9">
        <w:t xml:space="preserve">In the errata to her direct testimony, Staff witness </w:t>
      </w:r>
      <w:r>
        <w:t>Ruth</w:t>
      </w:r>
      <w:r w:rsidRPr="008249D9">
        <w:t xml:space="preserve"> Stark reviewed the supporting documentation provided by the Company</w:t>
      </w:r>
      <w:r>
        <w:t>,</w:t>
      </w:r>
      <w:r w:rsidRPr="008249D9">
        <w:t xml:space="preserve"> as well as expenses of municipal intervenor CARD</w:t>
      </w:r>
      <w:r>
        <w:t xml:space="preserve">, supports SWEPCO’s request for surcharge recovery of the </w:t>
      </w:r>
      <w:r>
        <w:lastRenderedPageBreak/>
        <w:t>expenses incurred in these dockets,</w:t>
      </w:r>
      <w:r w:rsidRPr="008249D9">
        <w:t xml:space="preserve"> and finds that the following amounts for each docket are reasonable, necessary, recoverable expenses and in compliance with the Commission’s rule for recovery:</w:t>
      </w:r>
    </w:p>
    <w:p w14:paraId="128FB5CF"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42370</w:t>
      </w:r>
      <w:r w:rsidRPr="008249D9">
        <w:rPr>
          <w:vertAlign w:val="superscript"/>
        </w:rPr>
        <w:footnoteReference w:id="433"/>
      </w:r>
      <w:r w:rsidRPr="008249D9">
        <w:tab/>
      </w:r>
      <w:r w:rsidRPr="008249D9">
        <w:tab/>
      </w:r>
      <w:r w:rsidRPr="008249D9">
        <w:tab/>
        <w:t>$288,423</w:t>
      </w:r>
    </w:p>
    <w:p w14:paraId="2E3E75C8"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42448</w:t>
      </w:r>
      <w:r w:rsidRPr="008249D9">
        <w:rPr>
          <w:vertAlign w:val="superscript"/>
        </w:rPr>
        <w:footnoteReference w:id="434"/>
      </w:r>
      <w:r w:rsidRPr="008249D9">
        <w:tab/>
      </w:r>
      <w:r w:rsidRPr="008249D9">
        <w:tab/>
      </w:r>
      <w:r w:rsidRPr="008249D9">
        <w:tab/>
        <w:t>$429,112</w:t>
      </w:r>
    </w:p>
    <w:p w14:paraId="2D393A3F"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42527</w:t>
      </w:r>
      <w:r w:rsidRPr="008249D9">
        <w:rPr>
          <w:vertAlign w:val="superscript"/>
        </w:rPr>
        <w:footnoteReference w:id="435"/>
      </w:r>
      <w:r w:rsidRPr="008249D9">
        <w:tab/>
      </w:r>
      <w:r w:rsidRPr="008249D9">
        <w:tab/>
      </w:r>
      <w:r w:rsidRPr="008249D9">
        <w:tab/>
        <w:t>$217,910</w:t>
      </w:r>
    </w:p>
    <w:p w14:paraId="077C4C65"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44701</w:t>
      </w:r>
      <w:r w:rsidRPr="008249D9">
        <w:rPr>
          <w:vertAlign w:val="superscript"/>
        </w:rPr>
        <w:footnoteReference w:id="436"/>
      </w:r>
      <w:r w:rsidRPr="008249D9">
        <w:tab/>
      </w:r>
      <w:r w:rsidRPr="008249D9">
        <w:tab/>
      </w:r>
      <w:r w:rsidRPr="008249D9">
        <w:tab/>
      </w:r>
      <w:proofErr w:type="gramStart"/>
      <w:r w:rsidRPr="008249D9">
        <w:t>$  59,840</w:t>
      </w:r>
      <w:proofErr w:type="gramEnd"/>
    </w:p>
    <w:p w14:paraId="468B796F"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45691</w:t>
      </w:r>
      <w:r w:rsidRPr="008249D9">
        <w:rPr>
          <w:vertAlign w:val="superscript"/>
        </w:rPr>
        <w:footnoteReference w:id="437"/>
      </w:r>
      <w:r w:rsidRPr="008249D9">
        <w:tab/>
      </w:r>
      <w:r w:rsidRPr="008249D9">
        <w:tab/>
      </w:r>
      <w:r w:rsidRPr="008249D9">
        <w:tab/>
        <w:t>$315,705</w:t>
      </w:r>
    </w:p>
    <w:p w14:paraId="6FBE80BF" w14:textId="77777777" w:rsidR="001649C1" w:rsidRPr="008249D9" w:rsidRDefault="001649C1" w:rsidP="00355448">
      <w:pPr>
        <w:keepNext/>
        <w:widowControl/>
        <w:overflowPunct w:val="0"/>
        <w:spacing w:line="480" w:lineRule="auto"/>
        <w:ind w:left="720" w:hanging="720"/>
        <w:textAlignment w:val="baseline"/>
      </w:pPr>
      <w:r w:rsidRPr="008249D9">
        <w:tab/>
      </w:r>
      <w:r w:rsidRPr="008249D9">
        <w:tab/>
        <w:t>Docket No. 44496</w:t>
      </w:r>
      <w:r w:rsidRPr="008249D9">
        <w:rPr>
          <w:vertAlign w:val="superscript"/>
        </w:rPr>
        <w:footnoteReference w:id="438"/>
      </w:r>
      <w:r w:rsidRPr="008249D9">
        <w:tab/>
      </w:r>
      <w:r w:rsidRPr="008249D9">
        <w:tab/>
      </w:r>
      <w:r w:rsidRPr="008249D9">
        <w:tab/>
      </w:r>
      <w:r w:rsidRPr="008249D9">
        <w:rPr>
          <w:u w:val="single"/>
        </w:rPr>
        <w:t>$162,971</w:t>
      </w:r>
    </w:p>
    <w:p w14:paraId="7A5E0F07" w14:textId="77777777" w:rsidR="001649C1" w:rsidRDefault="001649C1" w:rsidP="00355448">
      <w:pPr>
        <w:keepNext/>
        <w:widowControl/>
      </w:pPr>
      <w:r w:rsidRPr="008249D9">
        <w:tab/>
      </w:r>
      <w:r w:rsidRPr="008249D9">
        <w:tab/>
        <w:t>TOTAL</w:t>
      </w:r>
      <w:r w:rsidRPr="008249D9">
        <w:tab/>
      </w:r>
      <w:r w:rsidRPr="008249D9">
        <w:tab/>
      </w:r>
      <w:r w:rsidRPr="008249D9">
        <w:tab/>
        <w:t>$1,473,961</w:t>
      </w:r>
    </w:p>
    <w:p w14:paraId="0573721D" w14:textId="77777777" w:rsidR="001649C1" w:rsidRPr="008249D9" w:rsidRDefault="001649C1" w:rsidP="00355448">
      <w:pPr>
        <w:spacing w:line="240" w:lineRule="auto"/>
      </w:pPr>
    </w:p>
    <w:p w14:paraId="38ED6BAC" w14:textId="77777777" w:rsidR="001649C1" w:rsidRDefault="001649C1" w:rsidP="001649C1">
      <w:r>
        <w:t>Other than small adjustments proposed by Ms. Stark, no party challenged the reasonableness or necessity of these expenses.</w:t>
      </w:r>
    </w:p>
    <w:p w14:paraId="0748749D" w14:textId="77777777" w:rsidR="001649C1" w:rsidRDefault="001649C1" w:rsidP="001649C1">
      <w:r>
        <w:t xml:space="preserve">These </w:t>
      </w:r>
      <w:r w:rsidRPr="002320DF">
        <w:t xml:space="preserve">rate case expenses are </w:t>
      </w:r>
      <w:r w:rsidRPr="002320DF">
        <w:rPr>
          <w:b/>
          <w:i/>
        </w:rPr>
        <w:t>incremental expenses</w:t>
      </w:r>
      <w:r>
        <w:t>,</w:t>
      </w:r>
      <w:r w:rsidRPr="002320DF">
        <w:t xml:space="preserve"> such as outside legal and consultant</w:t>
      </w:r>
      <w:r>
        <w:t xml:space="preserve"> fees</w:t>
      </w:r>
      <w:r w:rsidRPr="002320DF">
        <w:t xml:space="preserve"> and employee travel.  In other words, SWEPCO seeks </w:t>
      </w:r>
      <w:r>
        <w:t xml:space="preserve">surcharge </w:t>
      </w:r>
      <w:r w:rsidRPr="002320DF">
        <w:t xml:space="preserve">recovery </w:t>
      </w:r>
      <w:r>
        <w:t xml:space="preserve">of </w:t>
      </w:r>
      <w:r w:rsidRPr="002320DF">
        <w:t>only incremental expenses which, absent the proceeding, would not have been incurred.</w:t>
      </w:r>
      <w:r>
        <w:t xml:space="preserve">  These incremental rate case expenses are distinct and different from the Company’s </w:t>
      </w:r>
      <w:r w:rsidRPr="00326629">
        <w:t>internal expenses that are recurring in nature such as labor costs</w:t>
      </w:r>
      <w:r>
        <w:t xml:space="preserve"> for SWEPCO and AEPSC regulatory personnel </w:t>
      </w:r>
      <w:r>
        <w:lastRenderedPageBreak/>
        <w:t xml:space="preserve">performing </w:t>
      </w:r>
      <w:r w:rsidRPr="00326629">
        <w:t xml:space="preserve">regulatory activities.  These </w:t>
      </w:r>
      <w:r>
        <w:t xml:space="preserve">recurring </w:t>
      </w:r>
      <w:r w:rsidRPr="00326629">
        <w:t>costs have consistently been treated as base rate regulatory commission expenses</w:t>
      </w:r>
      <w:r>
        <w:t xml:space="preserve"> and not collected pursuant to a rate case expense rider</w:t>
      </w:r>
      <w:r w:rsidRPr="00326629">
        <w:t>.</w:t>
      </w:r>
      <w:r w:rsidRPr="00326629">
        <w:rPr>
          <w:vertAlign w:val="superscript"/>
        </w:rPr>
        <w:footnoteReference w:id="439"/>
      </w:r>
    </w:p>
    <w:p w14:paraId="01AE5752" w14:textId="77777777" w:rsidR="001649C1" w:rsidRDefault="001649C1" w:rsidP="001649C1">
      <w:r>
        <w:t xml:space="preserve">Only TIEC recommends denial of surcharge recovery of the above identified rate case expenses.  </w:t>
      </w:r>
      <w:r w:rsidRPr="008249D9">
        <w:t xml:space="preserve">TIEC </w:t>
      </w:r>
      <w:r>
        <w:t xml:space="preserve">asserts that surcharge recovery of rate case expense </w:t>
      </w:r>
      <w:r w:rsidRPr="008249D9">
        <w:t xml:space="preserve">should be </w:t>
      </w:r>
      <w:r>
        <w:t xml:space="preserve">limited to expenses associated with </w:t>
      </w:r>
      <w:r w:rsidRPr="008249D9">
        <w:t xml:space="preserve">“major </w:t>
      </w:r>
      <w:r>
        <w:t>base-</w:t>
      </w:r>
      <w:r w:rsidRPr="008249D9">
        <w:t>rate case</w:t>
      </w:r>
      <w:r>
        <w:t>s</w:t>
      </w:r>
      <w:r w:rsidRPr="008249D9">
        <w:t>”</w:t>
      </w:r>
      <w:r>
        <w:t xml:space="preserve"> and that all other incremental rate case expenses must be recovered only through base rates.</w:t>
      </w:r>
      <w:r w:rsidRPr="008249D9">
        <w:rPr>
          <w:vertAlign w:val="superscript"/>
        </w:rPr>
        <w:footnoteReference w:id="440"/>
      </w:r>
      <w:r w:rsidRPr="008249D9">
        <w:t xml:space="preserve">  </w:t>
      </w:r>
      <w:r>
        <w:t>TIEC’s position i</w:t>
      </w:r>
      <w:r w:rsidRPr="008249D9">
        <w:t xml:space="preserve">s inconsistent with Commission precedent.  </w:t>
      </w:r>
      <w:r>
        <w:t>T</w:t>
      </w:r>
      <w:r w:rsidRPr="008249D9">
        <w:t xml:space="preserve">he Commission has not limited </w:t>
      </w:r>
      <w:r>
        <w:t xml:space="preserve">surcharge recovery of </w:t>
      </w:r>
      <w:r w:rsidRPr="008249D9">
        <w:t>rate case expense</w:t>
      </w:r>
      <w:r>
        <w:t>s</w:t>
      </w:r>
      <w:r w:rsidRPr="008249D9">
        <w:t xml:space="preserve"> to comprehensive base rate cases.  In Docket No. 42370, </w:t>
      </w:r>
      <w:r>
        <w:t xml:space="preserve">the Commission </w:t>
      </w:r>
      <w:r w:rsidRPr="008249D9">
        <w:t xml:space="preserve">granted </w:t>
      </w:r>
      <w:r>
        <w:t xml:space="preserve">surcharge </w:t>
      </w:r>
      <w:r w:rsidRPr="008249D9">
        <w:t xml:space="preserve">recovery of </w:t>
      </w:r>
      <w:r>
        <w:t>expenses associated with six SWEPCO proceedings,</w:t>
      </w:r>
      <w:r>
        <w:rPr>
          <w:rStyle w:val="FootnoteReference"/>
        </w:rPr>
        <w:footnoteReference w:id="441"/>
      </w:r>
      <w:r>
        <w:t xml:space="preserve"> only one of which was a </w:t>
      </w:r>
      <w:r w:rsidRPr="008249D9">
        <w:t>comprehensive base rate case</w:t>
      </w:r>
      <w:r>
        <w:t xml:space="preserve"> (Docket No. 40443)</w:t>
      </w:r>
      <w:r w:rsidRPr="008249D9">
        <w:t xml:space="preserve">.  Consistent with </w:t>
      </w:r>
      <w:r>
        <w:t xml:space="preserve">the recovery granted by the Commission in </w:t>
      </w:r>
      <w:r w:rsidRPr="008249D9">
        <w:t xml:space="preserve">Docket No. 42370, the Company </w:t>
      </w:r>
      <w:r>
        <w:t xml:space="preserve">seeks in this proceeding surcharge </w:t>
      </w:r>
      <w:r w:rsidRPr="008249D9">
        <w:t xml:space="preserve">recovery of </w:t>
      </w:r>
      <w:r>
        <w:t xml:space="preserve">only </w:t>
      </w:r>
      <w:r w:rsidRPr="008249D9">
        <w:t>incremental rate case expenses, such as legal, consultants, Cities expenses, and various other incremental expenses.  Payroll of employees, SWEPCO or AEPSC, are not included in rider RCE.</w:t>
      </w:r>
      <w:r w:rsidRPr="008249D9">
        <w:rPr>
          <w:vertAlign w:val="superscript"/>
        </w:rPr>
        <w:footnoteReference w:id="442"/>
      </w:r>
    </w:p>
    <w:p w14:paraId="1858A5AE" w14:textId="77777777" w:rsidR="001649C1" w:rsidRDefault="001649C1" w:rsidP="001649C1">
      <w:r>
        <w:t>In its exceptions, TIEC acknowledges that surcharge recovery of expenses associated with major base rate cases is proper and has been the standard practice of the Commission.  However, TIEC alleges that surcharge recovery of expenses associated with major base rate cases is an “exception” to the rule because major base rate cases “</w:t>
      </w:r>
      <w:r w:rsidRPr="00444B78">
        <w:t>do not necessarily recur on a regular basis</w:t>
      </w:r>
      <w:r>
        <w:t>.”</w:t>
      </w:r>
      <w:r>
        <w:rPr>
          <w:rStyle w:val="FootnoteReference"/>
        </w:rPr>
        <w:footnoteReference w:id="443"/>
      </w:r>
      <w:r>
        <w:t xml:space="preserve">  TIEC’s reasoning does not stand up to scrutiny.  For example, in Docket No. 42370, the Commission ordered surcharge recovery of the expenses associated with Docket No. 42527, a fuel reconciliation case.  With a single exception, SWEPCO has filed a fuel </w:t>
      </w:r>
      <w:r>
        <w:lastRenderedPageBreak/>
        <w:t>reconciliation case no more often tha</w:t>
      </w:r>
      <w:r w:rsidR="00535177">
        <w:t>n</w:t>
      </w:r>
      <w:r>
        <w:t xml:space="preserve"> every three years since 2000.</w:t>
      </w:r>
      <w:r>
        <w:rPr>
          <w:rStyle w:val="FootnoteReference"/>
        </w:rPr>
        <w:footnoteReference w:id="444"/>
      </w:r>
      <w:r>
        <w:t xml:space="preserve">  In Docket No. 42370, the Commission also ordered surcharge recovery of the expenses associated with Docket No. 44701, a fuel factor proceeding.  SWEPCO has not filed a fuel factor proceeding since Docket No. 44701, which was filed in 2015.  Before Docket No. 44701, SWEPCO had not filed a fuel factor proceeding since Docket No. 36966, filed six years earlier in 2009.  TIEC’s attempt to create a “</w:t>
      </w:r>
      <w:r w:rsidRPr="000E4B19">
        <w:t>do not necessarily recur on a regular basis</w:t>
      </w:r>
      <w:r>
        <w:t>” standard for surcharge recovery of rate case expenses simply cannot be squared with Commission precedent.</w:t>
      </w:r>
    </w:p>
    <w:p w14:paraId="1BD8C33B" w14:textId="77777777" w:rsidR="001649C1" w:rsidRDefault="001649C1" w:rsidP="001649C1">
      <w:r>
        <w:t>TIEC quotes out of context the testimony of SWEPCO witness Randall Hamlett and falsely alleges that his testimony supports a finding that the rate case expenses at issue are “recurring” and should be recovered as an element of base rates.  What Mr. Hamlett’s testimony actually does is draw a distinction between (1) the incremental rate case expenses associated with the previous six litigated proceedings at issue and (2) the recurring expense of the Company’s internal cost of regulatory personnel.  Mr. Hamlett testified:</w:t>
      </w:r>
    </w:p>
    <w:p w14:paraId="65C66FB2" w14:textId="77777777" w:rsidR="001649C1" w:rsidRDefault="001649C1" w:rsidP="00535177">
      <w:pPr>
        <w:spacing w:line="240" w:lineRule="auto"/>
        <w:ind w:left="720" w:right="720" w:firstLine="0"/>
      </w:pPr>
      <w:r w:rsidRPr="00A05A34">
        <w:t xml:space="preserve">As discussed earlier, rate case expenses are incremental expenses such as outside legal and consultants and employee travel. </w:t>
      </w:r>
      <w:r>
        <w:t xml:space="preserve"> </w:t>
      </w:r>
      <w:r w:rsidRPr="00A05A34">
        <w:t>In other words, SWEPCO seeks recovery through a rate case expense rider only incremental expenses which, absent th</w:t>
      </w:r>
      <w:r>
        <w:t>e</w:t>
      </w:r>
      <w:r w:rsidRPr="00A05A34">
        <w:t xml:space="preserve"> proceeding, would not have been incurred.</w:t>
      </w:r>
    </w:p>
    <w:p w14:paraId="08B7E186" w14:textId="77777777" w:rsidR="001649C1" w:rsidRDefault="00535177" w:rsidP="00535177">
      <w:pPr>
        <w:spacing w:line="240" w:lineRule="auto"/>
        <w:ind w:left="720" w:right="720" w:firstLine="0"/>
        <w:jc w:val="center"/>
      </w:pPr>
      <w:r>
        <w:t>.     .     .</w:t>
      </w:r>
    </w:p>
    <w:p w14:paraId="11538DB3" w14:textId="77777777" w:rsidR="00535177" w:rsidRDefault="00535177" w:rsidP="00535177">
      <w:pPr>
        <w:spacing w:line="240" w:lineRule="auto"/>
        <w:ind w:left="720" w:right="720" w:firstLine="0"/>
        <w:jc w:val="center"/>
      </w:pPr>
    </w:p>
    <w:p w14:paraId="4D6FD276" w14:textId="77777777" w:rsidR="001649C1" w:rsidRDefault="001649C1" w:rsidP="00535177">
      <w:pPr>
        <w:spacing w:line="240" w:lineRule="auto"/>
        <w:ind w:left="720" w:right="720" w:firstLine="0"/>
      </w:pPr>
      <w:r w:rsidRPr="00A05A34">
        <w:t>The expenses objected to by Mr. Pollock on the other hand are internal expenses that are recurring in nature such as AEPSC labor costs, (e.g. my time).</w:t>
      </w:r>
    </w:p>
    <w:p w14:paraId="55E9C8D1" w14:textId="77777777" w:rsidR="001649C1" w:rsidRDefault="00535177" w:rsidP="00535177">
      <w:pPr>
        <w:spacing w:line="240" w:lineRule="auto"/>
        <w:ind w:left="720" w:right="720" w:firstLine="0"/>
        <w:jc w:val="center"/>
      </w:pPr>
      <w:r>
        <w:t>.     .     .</w:t>
      </w:r>
    </w:p>
    <w:p w14:paraId="04C9CC80" w14:textId="77777777" w:rsidR="00535177" w:rsidRDefault="00535177" w:rsidP="00535177">
      <w:pPr>
        <w:spacing w:line="240" w:lineRule="auto"/>
        <w:ind w:left="720" w:right="720" w:firstLine="0"/>
        <w:jc w:val="center"/>
      </w:pPr>
    </w:p>
    <w:p w14:paraId="4CB7046B" w14:textId="77777777" w:rsidR="001649C1" w:rsidRDefault="001649C1" w:rsidP="00535177">
      <w:pPr>
        <w:spacing w:line="240" w:lineRule="auto"/>
        <w:ind w:left="720" w:right="720" w:firstLine="0"/>
      </w:pPr>
      <w:r w:rsidRPr="00A05A34">
        <w:t>Regulatory activities are recurring.</w:t>
      </w:r>
    </w:p>
    <w:p w14:paraId="2431665F" w14:textId="77777777" w:rsidR="001649C1" w:rsidRDefault="00535177" w:rsidP="00535177">
      <w:pPr>
        <w:spacing w:line="240" w:lineRule="auto"/>
        <w:ind w:left="720" w:right="720" w:firstLine="0"/>
        <w:jc w:val="center"/>
      </w:pPr>
      <w:r>
        <w:t>.     .     .</w:t>
      </w:r>
    </w:p>
    <w:p w14:paraId="16311AC3" w14:textId="77777777" w:rsidR="00535177" w:rsidRDefault="00535177" w:rsidP="001649C1">
      <w:pPr>
        <w:spacing w:line="240" w:lineRule="auto"/>
        <w:ind w:left="1440" w:right="1440"/>
      </w:pPr>
    </w:p>
    <w:p w14:paraId="74DC72EB" w14:textId="77777777" w:rsidR="001649C1" w:rsidRDefault="001649C1" w:rsidP="00535177">
      <w:pPr>
        <w:spacing w:line="240" w:lineRule="auto"/>
        <w:ind w:left="720" w:right="720" w:firstLine="0"/>
      </w:pPr>
      <w:r w:rsidRPr="00A05A34">
        <w:t>Even though one specific type of proceeding in the test year may not occur every year, there will be</w:t>
      </w:r>
      <w:r>
        <w:t xml:space="preserve"> </w:t>
      </w:r>
      <w:r w:rsidRPr="00A05A34">
        <w:t>other</w:t>
      </w:r>
      <w:r>
        <w:t xml:space="preserve"> </w:t>
      </w:r>
      <w:r w:rsidRPr="00A05A34">
        <w:t xml:space="preserve">types of proceedings that will take its place in the </w:t>
      </w:r>
      <w:r w:rsidRPr="00A05A34">
        <w:lastRenderedPageBreak/>
        <w:t>future</w:t>
      </w:r>
      <w:r>
        <w:t>.</w:t>
      </w:r>
      <w:r>
        <w:rPr>
          <w:rStyle w:val="FootnoteReference"/>
        </w:rPr>
        <w:footnoteReference w:id="445"/>
      </w:r>
    </w:p>
    <w:p w14:paraId="48319788" w14:textId="77777777" w:rsidR="001649C1" w:rsidRPr="008249D9" w:rsidRDefault="001649C1" w:rsidP="00BA0BAA">
      <w:pPr>
        <w:spacing w:line="240" w:lineRule="auto"/>
      </w:pPr>
    </w:p>
    <w:p w14:paraId="318F277B" w14:textId="77777777" w:rsidR="001649C1" w:rsidRPr="008249D9" w:rsidRDefault="001649C1" w:rsidP="001649C1">
      <w:r>
        <w:t xml:space="preserve">Surcharge recovery of rate case expenses, as requested by SWEPCO and ordered by the Commission in Docket No. 42370, is consistent with PURA.  </w:t>
      </w:r>
      <w:r w:rsidRPr="008249D9">
        <w:t xml:space="preserve">PURA </w:t>
      </w:r>
      <w:r w:rsidR="00535177">
        <w:t>§</w:t>
      </w:r>
      <w:r w:rsidRPr="008249D9">
        <w:t xml:space="preserve"> 36.061(b</w:t>
      </w:r>
      <w:proofErr w:type="gramStart"/>
      <w:r w:rsidRPr="008249D9">
        <w:t>)(</w:t>
      </w:r>
      <w:proofErr w:type="gramEnd"/>
      <w:r w:rsidRPr="008249D9">
        <w:t>2) states:</w:t>
      </w:r>
    </w:p>
    <w:p w14:paraId="5BEA62D0" w14:textId="77777777" w:rsidR="001649C1" w:rsidRPr="008249D9" w:rsidRDefault="001649C1" w:rsidP="00361007">
      <w:pPr>
        <w:spacing w:after="180"/>
        <w:ind w:left="720" w:firstLine="0"/>
        <w:rPr>
          <w:color w:val="000000"/>
        </w:rPr>
      </w:pPr>
      <w:r w:rsidRPr="008249D9">
        <w:rPr>
          <w:color w:val="000000"/>
        </w:rPr>
        <w:t>(b)  The regulatory authority may allow as a cost or expense</w:t>
      </w:r>
      <w:r w:rsidR="00361007">
        <w:rPr>
          <w:color w:val="000000"/>
        </w:rPr>
        <w:t xml:space="preserve"> . . .</w:t>
      </w:r>
    </w:p>
    <w:p w14:paraId="49DDAA31" w14:textId="77777777" w:rsidR="001649C1" w:rsidRPr="008249D9" w:rsidRDefault="001649C1" w:rsidP="00361007">
      <w:pPr>
        <w:spacing w:after="180"/>
        <w:ind w:left="720"/>
        <w:rPr>
          <w:color w:val="000000"/>
        </w:rPr>
      </w:pPr>
      <w:r w:rsidRPr="008249D9">
        <w:rPr>
          <w:color w:val="000000"/>
        </w:rPr>
        <w:t xml:space="preserve">(2)  </w:t>
      </w:r>
      <w:proofErr w:type="gramStart"/>
      <w:r w:rsidRPr="008249D9">
        <w:rPr>
          <w:color w:val="000000"/>
        </w:rPr>
        <w:t>reasonable</w:t>
      </w:r>
      <w:proofErr w:type="gramEnd"/>
      <w:r w:rsidRPr="008249D9">
        <w:rPr>
          <w:color w:val="000000"/>
        </w:rPr>
        <w:t xml:space="preserve"> costs of participating in a proceeding under this title </w:t>
      </w:r>
      <w:r w:rsidRPr="00507B31">
        <w:rPr>
          <w:b/>
          <w:i/>
          <w:color w:val="000000"/>
        </w:rPr>
        <w:t>not to exceed the amount approved by the regulatory authority</w:t>
      </w:r>
      <w:r w:rsidRPr="008249D9">
        <w:rPr>
          <w:color w:val="000000"/>
        </w:rPr>
        <w:t>.</w:t>
      </w:r>
      <w:r>
        <w:rPr>
          <w:rStyle w:val="FootnoteReference"/>
          <w:color w:val="000000"/>
        </w:rPr>
        <w:footnoteReference w:id="446"/>
      </w:r>
    </w:p>
    <w:p w14:paraId="57D6F177" w14:textId="77777777" w:rsidR="001649C1" w:rsidRPr="008249D9" w:rsidRDefault="001649C1" w:rsidP="0016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color w:val="000000"/>
        </w:rPr>
        <w:t xml:space="preserve">One problem with TIEC’s allegation that all rate case expenses, other than for “major base rate cases,” should be recovered in base rates is that, given the variability of the timing and cost of these litigated proceedings, the amount included in base rates might be much more than or much less than the actual expenses incurred.  This problem was explained by Staff witness Ms. Stark at hearing.  </w:t>
      </w:r>
      <w:r w:rsidRPr="008249D9">
        <w:t xml:space="preserve">Ms. Stark highlighted the practical difficulties of </w:t>
      </w:r>
      <w:r>
        <w:t>trying to put such incremental rate case expenses into base rates</w:t>
      </w:r>
      <w:r w:rsidRPr="008249D9">
        <w:t>:</w:t>
      </w:r>
    </w:p>
    <w:p w14:paraId="6BFA5000" w14:textId="77777777" w:rsidR="001649C1" w:rsidRPr="008249D9" w:rsidRDefault="001649C1" w:rsidP="00361007">
      <w:pPr>
        <w:spacing w:after="180" w:line="240" w:lineRule="auto"/>
        <w:ind w:left="720" w:right="720" w:firstLine="0"/>
      </w:pPr>
      <w:r w:rsidRPr="008249D9">
        <w:t>But, in practice, I don’t know how you would come up with a number.  Because sometimes those proceedings, like ECRFs, TCRFs, DCRFs are contested and go all the way through a full hearing.  Sometimes they’re settled.  So there’s no -- you know, there’s not a normal amount of expenses.  Plus, the Company is required to reimburse the municipal intervenors for their expenses.</w:t>
      </w:r>
    </w:p>
    <w:p w14:paraId="7CDBEDCF" w14:textId="77777777" w:rsidR="001649C1" w:rsidRPr="008249D9" w:rsidRDefault="001649C1" w:rsidP="00361007">
      <w:pPr>
        <w:spacing w:after="180" w:line="240" w:lineRule="auto"/>
        <w:ind w:left="720" w:right="720" w:firstLine="0"/>
      </w:pPr>
      <w:r w:rsidRPr="008249D9">
        <w:t>Those are totally out of the Company’s control.  I</w:t>
      </w:r>
      <w:r>
        <w:t>’</w:t>
      </w:r>
      <w:r w:rsidRPr="008249D9">
        <w:t>m not sure how you would come up with a number.  Like I said, I don’t disagree in theory, but I</w:t>
      </w:r>
      <w:r w:rsidR="00361007">
        <w:t>’</w:t>
      </w:r>
      <w:r w:rsidRPr="008249D9">
        <w:t>m not sure how in practice you would come up with a reasonable number to include in base rates.</w:t>
      </w:r>
      <w:r w:rsidRPr="008249D9">
        <w:rPr>
          <w:vertAlign w:val="superscript"/>
        </w:rPr>
        <w:footnoteReference w:id="447"/>
      </w:r>
    </w:p>
    <w:p w14:paraId="1C3F07ED" w14:textId="77777777" w:rsidR="001649C1" w:rsidRDefault="001649C1" w:rsidP="0016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TIEC writes that PURA § 36.061(b) “</w:t>
      </w:r>
      <w:r w:rsidRPr="002D241B">
        <w:rPr>
          <w:color w:val="000000"/>
        </w:rPr>
        <w:t>does not mandate or even allude</w:t>
      </w:r>
      <w:r>
        <w:rPr>
          <w:color w:val="000000"/>
        </w:rPr>
        <w:t xml:space="preserve"> to” surcharge recovery of rate case expenses.</w:t>
      </w:r>
      <w:r>
        <w:rPr>
          <w:rStyle w:val="FootnoteReference"/>
          <w:color w:val="000000"/>
        </w:rPr>
        <w:footnoteReference w:id="448"/>
      </w:r>
      <w:r>
        <w:rPr>
          <w:color w:val="000000"/>
        </w:rPr>
        <w:t xml:space="preserve">  However, surcharge recovery of rate case expenses seems better suited to achieve the statute’s requirement that recovery be granted “not to exceed the amount approved by the regulatory authority.”</w:t>
      </w:r>
      <w:r w:rsidR="00361007">
        <w:rPr>
          <w:rStyle w:val="FootnoteReference"/>
          <w:color w:val="000000"/>
        </w:rPr>
        <w:footnoteReference w:id="449"/>
      </w:r>
    </w:p>
    <w:p w14:paraId="391FCDF7" w14:textId="77777777" w:rsidR="001649C1" w:rsidRDefault="001649C1" w:rsidP="0016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ab/>
        <w:t>TIEC’s citation of Docket No. 38614 is also misplaced.  In that case, the Commission denied surcharge recovery of Docket No. 37565, a case in which the utility sought a declaratory order.  However, the Commission denied surcharge recovery of the expenses associated with the declaratory order case because it was not a rate proceeding, not because it was not a comprehensive base rate case.  The ALJ discussed this fact in Docket No. 42370, where OPUC argued, just as TIEC now does, that a rate proceeding must be a “general base rate case” before surcharge recovery is available.  In granting surcharge recovery of the expenses associated with Docket No. 38614, a case that admittedly was not a “general base rate case,” the ALJs distinguished that docket from the declaratory order case (Docket No. 37565) for which surcharge recovery was denied:</w:t>
      </w:r>
    </w:p>
    <w:p w14:paraId="142D3F6B" w14:textId="77777777" w:rsidR="001649C1" w:rsidRDefault="001649C1" w:rsidP="00361007">
      <w:pPr>
        <w:spacing w:line="240" w:lineRule="auto"/>
        <w:ind w:left="720" w:right="720" w:firstLine="0"/>
        <w:rPr>
          <w:color w:val="000000"/>
        </w:rPr>
      </w:pPr>
      <w:r w:rsidRPr="00002257">
        <w:rPr>
          <w:color w:val="000000"/>
        </w:rPr>
        <w:t xml:space="preserve">Docket No. 38614 was not a </w:t>
      </w:r>
      <w:r>
        <w:rPr>
          <w:color w:val="000000"/>
        </w:rPr>
        <w:t>“</w:t>
      </w:r>
      <w:r w:rsidRPr="00002257">
        <w:rPr>
          <w:color w:val="000000"/>
        </w:rPr>
        <w:t>general base-rate case.</w:t>
      </w:r>
      <w:r>
        <w:rPr>
          <w:color w:val="000000"/>
        </w:rPr>
        <w:t>”</w:t>
      </w:r>
      <w:r w:rsidRPr="00002257">
        <w:rPr>
          <w:color w:val="000000"/>
        </w:rPr>
        <w:t xml:space="preserve"> </w:t>
      </w:r>
      <w:r>
        <w:rPr>
          <w:color w:val="000000"/>
        </w:rPr>
        <w:t xml:space="preserve"> </w:t>
      </w:r>
      <w:r w:rsidRPr="00002257">
        <w:rPr>
          <w:color w:val="000000"/>
        </w:rPr>
        <w:t>It was a case in which SWEPCO</w:t>
      </w:r>
      <w:r>
        <w:rPr>
          <w:color w:val="000000"/>
        </w:rPr>
        <w:t xml:space="preserve"> </w:t>
      </w:r>
      <w:r w:rsidRPr="00002257">
        <w:rPr>
          <w:color w:val="000000"/>
        </w:rPr>
        <w:t>requested a surcharge to recover its expenses, unlike Docket No. 37565 in which SWEPCO only</w:t>
      </w:r>
      <w:r>
        <w:rPr>
          <w:color w:val="000000"/>
        </w:rPr>
        <w:t xml:space="preserve"> </w:t>
      </w:r>
      <w:r w:rsidRPr="00002257">
        <w:rPr>
          <w:color w:val="000000"/>
        </w:rPr>
        <w:t xml:space="preserve">sought a declaratory order. </w:t>
      </w:r>
      <w:r>
        <w:rPr>
          <w:color w:val="000000"/>
        </w:rPr>
        <w:t xml:space="preserve"> </w:t>
      </w:r>
      <w:r w:rsidRPr="00002257">
        <w:rPr>
          <w:color w:val="000000"/>
        </w:rPr>
        <w:t>This fact alone distinguishes the Docket No. 38614 expenses from</w:t>
      </w:r>
      <w:r>
        <w:rPr>
          <w:color w:val="000000"/>
        </w:rPr>
        <w:t xml:space="preserve"> </w:t>
      </w:r>
      <w:r w:rsidRPr="00002257">
        <w:rPr>
          <w:color w:val="000000"/>
        </w:rPr>
        <w:t>the Docket No. 37565 expenses.</w:t>
      </w:r>
    </w:p>
    <w:p w14:paraId="26E6B8AD" w14:textId="77777777" w:rsidR="00361007" w:rsidRDefault="00361007" w:rsidP="00361007">
      <w:pPr>
        <w:spacing w:after="180" w:line="240" w:lineRule="auto"/>
        <w:ind w:left="720" w:right="720" w:firstLine="0"/>
        <w:jc w:val="center"/>
        <w:rPr>
          <w:color w:val="000000"/>
        </w:rPr>
      </w:pPr>
      <w:r>
        <w:rPr>
          <w:color w:val="000000"/>
        </w:rPr>
        <w:t>.     .     .</w:t>
      </w:r>
    </w:p>
    <w:p w14:paraId="7C477F4A" w14:textId="77777777" w:rsidR="001649C1" w:rsidRDefault="001649C1" w:rsidP="00361007">
      <w:pPr>
        <w:spacing w:after="180" w:line="240" w:lineRule="auto"/>
        <w:ind w:left="720" w:right="720" w:firstLine="0"/>
      </w:pPr>
      <w:r w:rsidRPr="008249D9">
        <w:t>The ALJ concludes that the Docket No. 38614 expenses were rate-case expenses recoverable through a surcharge.  Docket No. 38614 was a ratemaking proceeding in which SWEPCO sought to change its rates through the imposition of a surcharge to recover its expenses from the declaratory-order proceeding.  Therefore, the Docket No. 38614 expenses were incurred in a ratemaking proceeding, and they should be classified as rate-case expenses.  Given the statements in the Docket No. 38614 Order and PFD—that the Commission typically allows a utility to recover rate-case expenses through a surcharge—the ALJ recommends that the Commission authorize SWEPCO to recover the Docket No. 38614 rate-case expenses in the amount of $55,992 through a surcharge as SWEPCO requested.</w:t>
      </w:r>
      <w:r>
        <w:rPr>
          <w:rStyle w:val="FootnoteReference"/>
        </w:rPr>
        <w:footnoteReference w:id="450"/>
      </w:r>
      <w:r w:rsidRPr="008249D9">
        <w:t xml:space="preserve">   </w:t>
      </w:r>
    </w:p>
    <w:p w14:paraId="5DEB2DCC" w14:textId="77777777" w:rsidR="001649C1" w:rsidRPr="008249D9" w:rsidRDefault="001649C1" w:rsidP="0016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
        <w:t>TIEC’s position is inconsistent with Commission precedent and, as testified to by Staff witness Ms. Stark, cannot be practically implemented.</w:t>
      </w:r>
    </w:p>
    <w:p w14:paraId="2248C4F3" w14:textId="77777777" w:rsidR="009420A5" w:rsidRDefault="009420A5" w:rsidP="003A17DF">
      <w:pPr>
        <w:pStyle w:val="Heading2"/>
        <w:numPr>
          <w:ilvl w:val="0"/>
          <w:numId w:val="49"/>
        </w:numPr>
        <w:ind w:hanging="720"/>
      </w:pPr>
      <w:bookmarkStart w:id="60" w:name="_Toc497123851"/>
      <w:r>
        <w:t>Factoring Expense</w:t>
      </w:r>
      <w:bookmarkEnd w:id="60"/>
    </w:p>
    <w:p w14:paraId="5CB86FF3" w14:textId="77777777" w:rsidR="001B0B67" w:rsidRPr="004F2D96" w:rsidRDefault="001B0B67" w:rsidP="001B0B67">
      <w:r>
        <w:t xml:space="preserve">SWEPCO agrees with Staff witness </w:t>
      </w:r>
      <w:r w:rsidRPr="000364D8">
        <w:t>Ms. Stark</w:t>
      </w:r>
      <w:r>
        <w:t>’s</w:t>
      </w:r>
      <w:r w:rsidRPr="000364D8">
        <w:t xml:space="preserve"> adjust</w:t>
      </w:r>
      <w:r>
        <w:t xml:space="preserve">ment to the bank credit line fees </w:t>
      </w:r>
      <w:r w:rsidRPr="000364D8">
        <w:t>to include only the bank fees of $1,119,931 and not the carrying cost amount of $1,978,889</w:t>
      </w:r>
      <w:r>
        <w:t xml:space="preserve">.  </w:t>
      </w:r>
      <w:r w:rsidRPr="004F2D96">
        <w:t xml:space="preserve">The </w:t>
      </w:r>
      <w:r w:rsidRPr="004F2D96">
        <w:lastRenderedPageBreak/>
        <w:t>final approved ROE should be included in the final factoring rate calculation to properly synchronize factoring expense to the</w:t>
      </w:r>
      <w:r>
        <w:t xml:space="preserve"> approved revenue requirement.</w:t>
      </w:r>
      <w:r>
        <w:rPr>
          <w:rStyle w:val="FootnoteReference"/>
        </w:rPr>
        <w:footnoteReference w:id="451"/>
      </w:r>
    </w:p>
    <w:p w14:paraId="2AAB96AB" w14:textId="77777777" w:rsidR="009420A5" w:rsidRDefault="009420A5" w:rsidP="008275B6">
      <w:pPr>
        <w:pStyle w:val="Heading2"/>
        <w:ind w:hanging="720"/>
      </w:pPr>
      <w:bookmarkStart w:id="61" w:name="_Toc497123852"/>
      <w:r>
        <w:t>Ad Valorem Taxes</w:t>
      </w:r>
      <w:bookmarkEnd w:id="61"/>
    </w:p>
    <w:p w14:paraId="13BFEC59" w14:textId="77777777" w:rsidR="00146384" w:rsidRDefault="00146384" w:rsidP="00146384">
      <w:pPr>
        <w:rPr>
          <w:b/>
          <w:i/>
        </w:rPr>
      </w:pPr>
      <w:r>
        <w:rPr>
          <w:b/>
          <w:i/>
        </w:rPr>
        <w:t>Welsh Unit 2</w:t>
      </w:r>
    </w:p>
    <w:p w14:paraId="44DADE16" w14:textId="77777777" w:rsidR="00146384" w:rsidRDefault="00146384" w:rsidP="00146384">
      <w:r w:rsidRPr="00CD0566">
        <w:t>If SWEPCO is allowed recovery of the remaining book value of Welsh Unit 2 upon retirement, even without a return, as recommended by Staff, this asset will be included in SWEPCO’s property base for determining SWEPCO’s ad valorem tax expense, since it still contributes to rate recovery and therefore remains a portion of the value of SWEPCO’s assets.  Only if SWEPCO receives no recovery at all in rates will the remaining net book value of Welsh Unit 2 be excluded from SWEPCO’s asset base for determining its ad valorem tax expense.</w:t>
      </w:r>
      <w:r w:rsidRPr="00CD0566">
        <w:rPr>
          <w:vertAlign w:val="superscript"/>
        </w:rPr>
        <w:footnoteReference w:id="452"/>
      </w:r>
      <w:r>
        <w:t xml:space="preserve">  As conceded by Staff in its exceptions, in negotiations with the taxing authority after the retirement of Welsh Unit 2, “</w:t>
      </w:r>
      <w:r w:rsidRPr="009E5ABD">
        <w:t>the Company</w:t>
      </w:r>
      <w:r>
        <w:t xml:space="preserve"> </w:t>
      </w:r>
      <w:r w:rsidRPr="009E5ABD">
        <w:t>did not argue that Welsh Unit 2 had no value and should not be included among the Company</w:t>
      </w:r>
      <w:r>
        <w:t>’</w:t>
      </w:r>
      <w:r w:rsidRPr="009E5ABD">
        <w:t>s</w:t>
      </w:r>
      <w:r>
        <w:t xml:space="preserve"> </w:t>
      </w:r>
      <w:r w:rsidRPr="009E5ABD">
        <w:t>taxable property.</w:t>
      </w:r>
      <w:r>
        <w:t>”</w:t>
      </w:r>
      <w:r>
        <w:rPr>
          <w:rStyle w:val="FootnoteReference"/>
        </w:rPr>
        <w:footnoteReference w:id="453"/>
      </w:r>
      <w:r>
        <w:t xml:space="preserve">  The ALJs correctly conclude:</w:t>
      </w:r>
    </w:p>
    <w:p w14:paraId="1B86BDF9" w14:textId="77777777" w:rsidR="00146384" w:rsidRDefault="00146384" w:rsidP="00361007">
      <w:pPr>
        <w:spacing w:line="240" w:lineRule="auto"/>
        <w:ind w:left="720" w:right="720" w:firstLine="0"/>
      </w:pPr>
      <w:r w:rsidRPr="00BB36FB">
        <w:t>Unless the Commission provides no cost recovery for the retired Welsh Unit 2, with or without return, the plant will be in the utility’s asset base and will be assessed for ad valorem taxes.  Eliminating approximately $75.4 million from Staff’s proposed total disallowance of $93.7 million makes a significant difference in the starting point of Staff’s ad valorem calculation that cannot be ignored because it results in an artificially low asset base on which ad valorem taxes would be assessed.</w:t>
      </w:r>
      <w:r>
        <w:rPr>
          <w:rStyle w:val="FootnoteReference"/>
        </w:rPr>
        <w:footnoteReference w:id="454"/>
      </w:r>
    </w:p>
    <w:p w14:paraId="1B32B3FB" w14:textId="77777777" w:rsidR="00146384" w:rsidRDefault="00146384" w:rsidP="00640CE1">
      <w:pPr>
        <w:spacing w:line="240" w:lineRule="auto"/>
      </w:pPr>
    </w:p>
    <w:p w14:paraId="032F5258" w14:textId="77777777" w:rsidR="00146384" w:rsidRPr="00CD0566" w:rsidRDefault="00146384" w:rsidP="00146384">
      <w:r w:rsidRPr="00CD0566">
        <w:t xml:space="preserve">Staff </w:t>
      </w:r>
      <w:r>
        <w:t>does not challenge this conclusion.  Instead, in its exceptions, Staff makes an allegation not made or supported by the testimony of its own witness.  In its exceptions, Staff writes that t</w:t>
      </w:r>
      <w:r w:rsidRPr="00CD0566">
        <w:t>he entire remaining net book value of Welsh Unit 2 upon its retirement should be removed from SWEPCO’s ad valorem tax base</w:t>
      </w:r>
      <w:r>
        <w:t xml:space="preserve"> “because SWEPCO has not provided evidence of the current value of Welsh Unit 2.”</w:t>
      </w:r>
      <w:r>
        <w:rPr>
          <w:rStyle w:val="FootnoteReference"/>
        </w:rPr>
        <w:footnoteReference w:id="455"/>
      </w:r>
      <w:r>
        <w:t xml:space="preserve">  This new allegation is hard to understand given the </w:t>
      </w:r>
      <w:r>
        <w:lastRenderedPageBreak/>
        <w:t xml:space="preserve">plethora of undisputed evidence in this case, including that of Staff’s own witness, that the remaining net book value of Welsh Unit 2 is </w:t>
      </w:r>
      <w:r w:rsidRPr="009E7EAB">
        <w:t>$75,423,781</w:t>
      </w:r>
      <w:r>
        <w:t>.</w:t>
      </w:r>
      <w:r>
        <w:rPr>
          <w:rStyle w:val="FootnoteReference"/>
        </w:rPr>
        <w:footnoteReference w:id="456"/>
      </w:r>
      <w:r>
        <w:t xml:space="preserve">  Staff’s </w:t>
      </w:r>
      <w:r w:rsidRPr="00CD0566">
        <w:t xml:space="preserve">adjustment to ad valorem tax base </w:t>
      </w:r>
      <w:r>
        <w:t xml:space="preserve">based on the remaining book value of Welsh Unit 2 </w:t>
      </w:r>
      <w:r w:rsidRPr="00CD0566">
        <w:t>is unreasonable and contrary to the way ad valorem taxes are calculated.</w:t>
      </w:r>
    </w:p>
    <w:p w14:paraId="4976A940" w14:textId="77777777" w:rsidR="00146384" w:rsidRDefault="00146384" w:rsidP="00146384">
      <w:r>
        <w:rPr>
          <w:b/>
          <w:i/>
        </w:rPr>
        <w:t>Capitalized Ad Valorem Taxes</w:t>
      </w:r>
    </w:p>
    <w:p w14:paraId="6847C754" w14:textId="77777777" w:rsidR="00146384" w:rsidRDefault="00146384" w:rsidP="00146384">
      <w:r w:rsidRPr="00F52BB7">
        <w:t>Staff also recommends a change to the calculation of the amount of ad valorem taxes that are capitalized.</w:t>
      </w:r>
      <w:r>
        <w:t xml:space="preserve">  While it is unclear from Staff’s exceptions exactly what Staff is proposing, the final sentence of that section of Staff’s exceptions appears to recommend the application of “the actual test-year capitalization rate of 5.348%.”</w:t>
      </w:r>
      <w:r>
        <w:rPr>
          <w:rStyle w:val="FootnoteReference"/>
        </w:rPr>
        <w:footnoteReference w:id="457"/>
      </w:r>
      <w:r>
        <w:t xml:space="preserve">  </w:t>
      </w:r>
      <w:r w:rsidRPr="00F83DD2">
        <w:t>Staff recommends an unreasonably high capitalization rate for the calculation of ad valorem taxes.</w:t>
      </w:r>
    </w:p>
    <w:p w14:paraId="24B6D282" w14:textId="77777777" w:rsidR="00146384" w:rsidRDefault="00146384" w:rsidP="00146384">
      <w:r w:rsidRPr="0020440E">
        <w:t>Staff’s calculation of a capitalization rate of 5.348% makes use of the ad valorem taxes that were capitalized during the test year, not for any specific tax year.  The test year includes ad valorem taxes from parts of the 2015 and 2016 tax years and, therefore, is not matched with a specific tax year.</w:t>
      </w:r>
      <w:r w:rsidRPr="0020440E">
        <w:rPr>
          <w:vertAlign w:val="superscript"/>
        </w:rPr>
        <w:footnoteReference w:id="458"/>
      </w:r>
      <w:r w:rsidRPr="0020440E">
        <w:t xml:space="preserve">  At the time the rate filing was prepared, the 2015 tax year was the most recently filed ad valorem tax filing whose liability was known and measurable and taxes were paid and accounted for.  The 2015 tax year data was used to establish the effective ad valorem tax rate to be applied to the net utility plant at test year-end.</w:t>
      </w:r>
      <w:r w:rsidRPr="0020440E">
        <w:rPr>
          <w:vertAlign w:val="superscript"/>
        </w:rPr>
        <w:footnoteReference w:id="459"/>
      </w:r>
      <w:r w:rsidRPr="0020440E">
        <w:t xml:space="preserve">  </w:t>
      </w:r>
      <w:r>
        <w:t xml:space="preserve">In its briefing, </w:t>
      </w:r>
      <w:r w:rsidRPr="0020440E">
        <w:t xml:space="preserve">Staff </w:t>
      </w:r>
      <w:r>
        <w:t>did</w:t>
      </w:r>
      <w:r w:rsidRPr="0020440E">
        <w:t xml:space="preserve"> not dispute the use of the actual 2015 tax rate (0.0101199722) and, in fact, use</w:t>
      </w:r>
      <w:r>
        <w:t>d</w:t>
      </w:r>
      <w:r w:rsidRPr="0020440E">
        <w:t xml:space="preserve"> that rate in its calculations.</w:t>
      </w:r>
      <w:r w:rsidRPr="0020440E">
        <w:rPr>
          <w:vertAlign w:val="superscript"/>
        </w:rPr>
        <w:footnoteReference w:id="460"/>
      </w:r>
      <w:r w:rsidRPr="0020440E">
        <w:t xml:space="preserve">  However, in developing its recommended capitalization rate, it departs from the consistent use of the actual 2015 tax data, and makes a calculation that includes parts of two different tax years</w:t>
      </w:r>
      <w:r>
        <w:t xml:space="preserve"> in arriving at a 5.348% capitalization rate</w:t>
      </w:r>
      <w:r w:rsidRPr="0020440E">
        <w:t>.</w:t>
      </w:r>
    </w:p>
    <w:p w14:paraId="14B69BC6" w14:textId="77777777" w:rsidR="00146384" w:rsidRDefault="00146384" w:rsidP="00146384">
      <w:r w:rsidRPr="006440FA">
        <w:t>Further, SWEPCO’s use of the actual 2015 taxes capitalized ($2,600,800) in its calculation is, if anything, conservative.  Staff</w:t>
      </w:r>
      <w:r>
        <w:t>, in recommending a 5.348% capitalization rate,</w:t>
      </w:r>
      <w:r w:rsidRPr="006440FA">
        <w:t xml:space="preserve"> </w:t>
      </w:r>
      <w:r>
        <w:t>f</w:t>
      </w:r>
      <w:r w:rsidRPr="006440FA">
        <w:t>ail</w:t>
      </w:r>
      <w:r>
        <w:t>s</w:t>
      </w:r>
      <w:r w:rsidRPr="006440FA">
        <w:t xml:space="preserve"> to appreciate what generates the capitalization of ad valorem taxes.  Construction activity </w:t>
      </w:r>
      <w:r w:rsidRPr="006440FA">
        <w:lastRenderedPageBreak/>
        <w:t xml:space="preserve">recorded in Account 107 – Construction Work in Progress (CWIP) – is the starting point for determining ad valorem taxes to be capitalized.  The derivation of Staff’s capitalization ratio does not consider construction activity.  SWEPCO’s CWIP balance at June 30, 2015, the beginning of the test year, was $577.8M.  At the end of the test year SWEPCO’s CWIP balance was $168.2M.  The difference in the CWIP amounts represents assets that have been transferred to utility plant placed in service.  When placed in service, taxes on assets previously in CWIP are expensed and not capitalized.  </w:t>
      </w:r>
      <w:r w:rsidRPr="006440FA">
        <w:rPr>
          <w:i/>
        </w:rPr>
        <w:t>The significant decrease in CWIP will decrease capitalized ad valorem taxes.</w:t>
      </w:r>
      <w:r w:rsidRPr="006440FA">
        <w:t xml:space="preserve">  Staff’s recommendation </w:t>
      </w:r>
      <w:r>
        <w:t xml:space="preserve">is inconsistent with </w:t>
      </w:r>
      <w:r w:rsidRPr="006440FA">
        <w:t>this change.</w:t>
      </w:r>
      <w:r w:rsidRPr="006440FA">
        <w:rPr>
          <w:vertAlign w:val="superscript"/>
        </w:rPr>
        <w:footnoteReference w:id="461"/>
      </w:r>
    </w:p>
    <w:p w14:paraId="3C82A68A" w14:textId="77777777" w:rsidR="00146384" w:rsidRPr="006440FA" w:rsidRDefault="00146384" w:rsidP="00146384">
      <w:r w:rsidRPr="006440FA">
        <w:t>If Staff had made consistent use of actual 2015 tax data, the capitalization rate would be 4.8122%.  This rate is calculated in Staff’s brief</w:t>
      </w:r>
      <w:r>
        <w:t>ing</w:t>
      </w:r>
      <w:r w:rsidRPr="006440FA">
        <w:t xml:space="preserve">, and Staff’s </w:t>
      </w:r>
      <w:r>
        <w:t xml:space="preserve">exceptions seem to </w:t>
      </w:r>
      <w:r w:rsidRPr="006440FA">
        <w:t>lend some support for using this rate.</w:t>
      </w:r>
      <w:r w:rsidRPr="006440FA">
        <w:rPr>
          <w:vertAlign w:val="superscript"/>
        </w:rPr>
        <w:footnoteReference w:id="462"/>
      </w:r>
      <w:r w:rsidRPr="006440FA">
        <w:t xml:space="preserve">  If SWEPCO’s amount of capitalized ad valorem taxes is to be changed and a capitalization rate is to be applied, the actual 2015 tax year capitalization rate of 4.8122% is more reasonable than Staff’s recommended 5.348%.</w:t>
      </w:r>
      <w:r>
        <w:t xml:space="preserve">  However, e</w:t>
      </w:r>
      <w:r w:rsidRPr="006440FA">
        <w:t>ven the use of the actual 2015 ad valorem capitalization rate of 4.8122% will likely overstate the amount of ad valorem taxes that will be capitalized.  The CWIP balance for the 2015 ad valorem tax year, on which SWEPCO’s calculation was base</w:t>
      </w:r>
      <w:r>
        <w:t>d</w:t>
      </w:r>
      <w:r w:rsidRPr="006440FA">
        <w:t>, was $471.7 million.  Considering the test year end CWIP balance of $168.2 million, if anything, even the use of the 2015 ad valorem tax year capitalization rate would overstate ad valorem taxes capitalized given the major drop in CWIP due to the environmental projects coming on line (as discussed above in Section II.A.).  And, the rate would not go up as it does with Staff’s recommended capitalization rate of 5.348%.</w:t>
      </w:r>
      <w:r w:rsidRPr="006440FA">
        <w:rPr>
          <w:vertAlign w:val="superscript"/>
        </w:rPr>
        <w:footnoteReference w:id="463"/>
      </w:r>
    </w:p>
    <w:p w14:paraId="7B3BCB07" w14:textId="77777777" w:rsidR="00667B4C" w:rsidRDefault="00EF4D0E" w:rsidP="000436E0">
      <w:pPr>
        <w:pStyle w:val="Heading1"/>
        <w:keepNext w:val="0"/>
        <w:numPr>
          <w:ilvl w:val="0"/>
          <w:numId w:val="50"/>
        </w:numPr>
        <w:ind w:left="0" w:firstLine="0"/>
      </w:pPr>
      <w:bookmarkStart w:id="62" w:name="_Toc497123853"/>
      <w:r>
        <w:t>REVENUE DISTRIBUTION AND RATE DESIGN</w:t>
      </w:r>
      <w:bookmarkEnd w:id="62"/>
      <w:r w:rsidR="00667B4C">
        <w:t xml:space="preserve"> </w:t>
      </w:r>
    </w:p>
    <w:p w14:paraId="3FE8D603" w14:textId="77777777" w:rsidR="00CE3E21" w:rsidRDefault="00EF4D0E" w:rsidP="000436E0">
      <w:pPr>
        <w:pStyle w:val="Heading2"/>
        <w:keepNext w:val="0"/>
        <w:numPr>
          <w:ilvl w:val="0"/>
          <w:numId w:val="14"/>
        </w:numPr>
        <w:ind w:hanging="720"/>
      </w:pPr>
      <w:bookmarkStart w:id="63" w:name="_Toc497123854"/>
      <w:r>
        <w:t>Revenue Distribution</w:t>
      </w:r>
      <w:bookmarkEnd w:id="63"/>
      <w:r w:rsidR="00CE3E21">
        <w:t xml:space="preserve"> </w:t>
      </w:r>
    </w:p>
    <w:p w14:paraId="6266FE57" w14:textId="77777777" w:rsidR="004B6A12" w:rsidRPr="00E16657" w:rsidRDefault="004B6A12" w:rsidP="000436E0">
      <w:pPr>
        <w:widowControl/>
        <w:tabs>
          <w:tab w:val="left" w:pos="360"/>
          <w:tab w:val="left" w:pos="450"/>
        </w:tabs>
      </w:pPr>
      <w:r>
        <w:t xml:space="preserve">The PFD correctly adopts SWEPCO’s revenue distribution as a reasonable approach to this always vexing issue. </w:t>
      </w:r>
      <w:r w:rsidR="00504904">
        <w:t xml:space="preserve"> </w:t>
      </w:r>
      <w:r>
        <w:t xml:space="preserve">Only </w:t>
      </w:r>
      <w:r w:rsidRPr="00E16657">
        <w:t xml:space="preserve">Staff </w:t>
      </w:r>
      <w:r>
        <w:t>continues to oppose</w:t>
      </w:r>
      <w:r w:rsidRPr="00E16657">
        <w:t xml:space="preserve"> SWEPCO’s </w:t>
      </w:r>
      <w:r>
        <w:t xml:space="preserve">concept of </w:t>
      </w:r>
      <w:r w:rsidRPr="00E16657">
        <w:t xml:space="preserve">grouping rate </w:t>
      </w:r>
      <w:r w:rsidRPr="00E16657">
        <w:lastRenderedPageBreak/>
        <w:t>classes</w:t>
      </w:r>
      <w:r>
        <w:t xml:space="preserve"> for purposes of performing the revenue distribution. </w:t>
      </w:r>
      <w:r w:rsidR="00504904">
        <w:t xml:space="preserve"> </w:t>
      </w:r>
      <w:r w:rsidRPr="00E16657">
        <w:t>CARD and ETSWD agree with SWEPCO’s proposed grouping of rate classes, and it is also unopposed by OPUC.</w:t>
      </w:r>
      <w:r>
        <w:rPr>
          <w:rStyle w:val="FootnoteReference"/>
        </w:rPr>
        <w:footnoteReference w:id="464"/>
      </w:r>
      <w:r w:rsidRPr="00E16657">
        <w:t xml:space="preserve">  </w:t>
      </w:r>
      <w:r w:rsidR="00216958">
        <w:t xml:space="preserve">TIEC agrees with the concept, though it proposes its own groups.  </w:t>
      </w:r>
      <w:r>
        <w:t>Wal</w:t>
      </w:r>
      <w:r w:rsidR="004F0331">
        <w:t>-M</w:t>
      </w:r>
      <w:r>
        <w:t>art also agrees that SWEPCO has overall done the best job of providing a revenue distribution that moves all classes toward cost.</w:t>
      </w:r>
      <w:r>
        <w:rPr>
          <w:rStyle w:val="FootnoteReference"/>
        </w:rPr>
        <w:footnoteReference w:id="465"/>
      </w:r>
      <w:r>
        <w:t xml:space="preserve">  </w:t>
      </w:r>
      <w:r w:rsidRPr="00E16657">
        <w:t>The grouping of rate classes into larger major groupings was the methodology adopted by the Commission in SWEPCO’s last rate proceeding, Docket No. 40443.</w:t>
      </w:r>
      <w:r>
        <w:rPr>
          <w:rStyle w:val="FootnoteReference"/>
        </w:rPr>
        <w:footnoteReference w:id="466"/>
      </w:r>
      <w:r w:rsidRPr="00E16657">
        <w:t xml:space="preserve">  SWEPCO’s approach allows customers of similar size and type to collectively move closer to cost of service.</w:t>
      </w:r>
      <w:r>
        <w:rPr>
          <w:rStyle w:val="FootnoteReference"/>
        </w:rPr>
        <w:footnoteReference w:id="467"/>
      </w:r>
      <w:r w:rsidRPr="00E16657">
        <w:t xml:space="preserve">  This approach also allows migration among customer classes to stay within the same common customer grouping, which lessens the potential that migration will prevent SWEPCO from collecting the revenue requirement that the rates are designed to collect.</w:t>
      </w:r>
      <w:r>
        <w:rPr>
          <w:rStyle w:val="FootnoteReference"/>
        </w:rPr>
        <w:footnoteReference w:id="468"/>
      </w:r>
      <w:r w:rsidRPr="00E16657">
        <w:t xml:space="preserve">  </w:t>
      </w:r>
    </w:p>
    <w:p w14:paraId="243833DD" w14:textId="77777777" w:rsidR="004B6A12" w:rsidRPr="00D253C8" w:rsidRDefault="004B6A12" w:rsidP="004B6A12">
      <w:pPr>
        <w:tabs>
          <w:tab w:val="left" w:pos="720"/>
        </w:tabs>
      </w:pPr>
      <w:r>
        <w:t>Exceptions of all the parties save TIEC claim that the revenue distribution adopted by the PFD causes unreasonable impacts, or departs too much from cost of service in some respect.  The fact is that t</w:t>
      </w:r>
      <w:r w:rsidRPr="00D253C8">
        <w:t xml:space="preserve">he recommendations of all the parties—not just </w:t>
      </w:r>
      <w:r>
        <w:t xml:space="preserve">those of </w:t>
      </w:r>
      <w:r w:rsidRPr="00D253C8">
        <w:t>the Company—</w:t>
      </w:r>
      <w:r>
        <w:t xml:space="preserve">must necessarily </w:t>
      </w:r>
      <w:r w:rsidRPr="00D253C8">
        <w:t>depart from cost of service to the extent they employ gradualism constraints</w:t>
      </w:r>
      <w:r>
        <w:t>, and all parties agree that gradualism should be employed in this case</w:t>
      </w:r>
      <w:r w:rsidRPr="00D253C8">
        <w:t>.</w:t>
      </w:r>
      <w:r>
        <w:rPr>
          <w:rStyle w:val="FootnoteReference"/>
        </w:rPr>
        <w:footnoteReference w:id="469"/>
      </w:r>
      <w:r w:rsidRPr="00D253C8">
        <w:t xml:space="preserve">  </w:t>
      </w:r>
      <w:r>
        <w:t xml:space="preserve">Staff urges that its approach will </w:t>
      </w:r>
      <w:r w:rsidR="00216958">
        <w:t xml:space="preserve">best </w:t>
      </w:r>
      <w:r>
        <w:t>reduce subsidies between classes</w:t>
      </w:r>
      <w:r w:rsidR="00216958">
        <w:t>.</w:t>
      </w:r>
      <w:r>
        <w:rPr>
          <w:rStyle w:val="FootnoteReference"/>
        </w:rPr>
        <w:footnoteReference w:id="470"/>
      </w:r>
      <w:r>
        <w:t xml:space="preserve"> </w:t>
      </w:r>
      <w:r w:rsidR="00216958">
        <w:t xml:space="preserve"> </w:t>
      </w:r>
      <w:r>
        <w:t>Staff</w:t>
      </w:r>
      <w:r w:rsidR="00216958">
        <w:t>’s proposal, however,</w:t>
      </w:r>
      <w:r>
        <w:t xml:space="preserve"> would </w:t>
      </w:r>
      <w:r w:rsidRPr="00D253C8">
        <w:t xml:space="preserve">shift </w:t>
      </w:r>
      <w:r>
        <w:t xml:space="preserve">almost </w:t>
      </w:r>
      <w:r w:rsidRPr="00D253C8">
        <w:t>$</w:t>
      </w:r>
      <w:r>
        <w:t>3</w:t>
      </w:r>
      <w:r w:rsidR="00216958">
        <w:t> </w:t>
      </w:r>
      <w:r w:rsidRPr="00D253C8">
        <w:t>million in cost responsibility from non</w:t>
      </w:r>
      <w:r w:rsidRPr="00D253C8">
        <w:noBreakHyphen/>
        <w:t xml:space="preserve">residential to residential customers, </w:t>
      </w:r>
      <w:r>
        <w:t xml:space="preserve">even </w:t>
      </w:r>
      <w:r w:rsidRPr="00D253C8">
        <w:t>under Staff’s lower proposed base rate increase.  This results in rates for residential customers above their cost of service.</w:t>
      </w:r>
      <w:r>
        <w:rPr>
          <w:rStyle w:val="FootnoteReference"/>
        </w:rPr>
        <w:footnoteReference w:id="471"/>
      </w:r>
      <w:r w:rsidRPr="00D253C8">
        <w:t xml:space="preserve">  Similarly, Staff’s revenue distribution results, for example, in a $3.5 million increase above cost of service for Lighting and Power Secondary and a $4.2 million reduction </w:t>
      </w:r>
      <w:r w:rsidRPr="00D253C8">
        <w:lastRenderedPageBreak/>
        <w:t>below cost of service for Oilfield.</w:t>
      </w:r>
      <w:r>
        <w:rPr>
          <w:rStyle w:val="FootnoteReference"/>
        </w:rPr>
        <w:footnoteReference w:id="472"/>
      </w:r>
    </w:p>
    <w:p w14:paraId="1B2A5A1D" w14:textId="77777777" w:rsidR="004B6A12" w:rsidRDefault="004B6A12" w:rsidP="004B6A12">
      <w:pPr>
        <w:tabs>
          <w:tab w:val="left" w:pos="720"/>
        </w:tabs>
      </w:pPr>
      <w:r w:rsidRPr="00D253C8">
        <w:t>To the extent any class contributes more than its cost of service, that class coul</w:t>
      </w:r>
      <w:r>
        <w:t>d claim this result is unreasonable</w:t>
      </w:r>
      <w:r w:rsidRPr="00D253C8">
        <w:t xml:space="preserve">; yet </w:t>
      </w:r>
      <w:r w:rsidR="00216958">
        <w:t xml:space="preserve">gradualism helps ensure </w:t>
      </w:r>
      <w:r w:rsidRPr="00D253C8">
        <w:t>that particular classes do not suffer unreasonable bill impacts.</w:t>
      </w:r>
      <w:r>
        <w:t xml:space="preserve">  Contrary to the claims of Staff and ETSWD, SWEPCO’s base rate revenue distribution does not have unreasonable customer impacts.  Table 2 to the testimony of Company witness </w:t>
      </w:r>
      <w:r w:rsidR="00504904">
        <w:t xml:space="preserve">Shawnna </w:t>
      </w:r>
      <w:r>
        <w:t>Jones</w:t>
      </w:r>
      <w:r>
        <w:rPr>
          <w:rStyle w:val="FootnoteReference"/>
        </w:rPr>
        <w:footnoteReference w:id="473"/>
      </w:r>
      <w:r>
        <w:t xml:space="preserve"> illustrates the total bill impacts of SWEPCO’s full requested increase, which include among other things the reduction to zero of the TCRF and DCRF riders.  </w:t>
      </w:r>
    </w:p>
    <w:p w14:paraId="42CFC02F" w14:textId="77777777" w:rsidR="004F0331" w:rsidRDefault="004F0331" w:rsidP="004F0331">
      <w:pPr>
        <w:ind w:firstLine="0"/>
        <w:jc w:val="center"/>
        <w:rPr>
          <w:highlight w:val="yellow"/>
        </w:rPr>
      </w:pPr>
      <w:r>
        <w:rPr>
          <w:noProof/>
        </w:rPr>
        <w:drawing>
          <wp:inline distT="0" distB="0" distL="0" distR="0" wp14:anchorId="021C2C33" wp14:editId="0DD8537B">
            <wp:extent cx="3745523" cy="2876427"/>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nes - Table 2.JPG"/>
                    <pic:cNvPicPr/>
                  </pic:nvPicPr>
                  <pic:blipFill>
                    <a:blip r:embed="rId15">
                      <a:extLst>
                        <a:ext uri="{28A0092B-C50C-407E-A947-70E740481C1C}">
                          <a14:useLocalDpi xmlns:a14="http://schemas.microsoft.com/office/drawing/2010/main" val="0"/>
                        </a:ext>
                      </a:extLst>
                    </a:blip>
                    <a:stretch>
                      <a:fillRect/>
                    </a:stretch>
                  </pic:blipFill>
                  <pic:spPr>
                    <a:xfrm>
                      <a:off x="0" y="0"/>
                      <a:ext cx="3747249" cy="2877752"/>
                    </a:xfrm>
                    <a:prstGeom prst="rect">
                      <a:avLst/>
                    </a:prstGeom>
                  </pic:spPr>
                </pic:pic>
              </a:graphicData>
            </a:graphic>
          </wp:inline>
        </w:drawing>
      </w:r>
    </w:p>
    <w:p w14:paraId="370CA703" w14:textId="77777777" w:rsidR="004B6A12" w:rsidRDefault="004B6A12" w:rsidP="004B6A12">
      <w:pPr>
        <w:tabs>
          <w:tab w:val="left" w:pos="720"/>
        </w:tabs>
      </w:pPr>
      <w:r>
        <w:t xml:space="preserve">This table shows those overall bill impacts to fall within a range of reasonableness, even before the reduction in the overall request recommended by the ALJs.  Staff argues that the result of SWEPCO’s revenue distribution for LP Primary and Highway Lighting </w:t>
      </w:r>
      <w:r w:rsidR="00216958">
        <w:t>is</w:t>
      </w:r>
      <w:r>
        <w:t xml:space="preserve"> “absurd,” since their increase is below system average, while a cost based increase would be above system average.</w:t>
      </w:r>
      <w:r>
        <w:rPr>
          <w:rStyle w:val="FootnoteReference"/>
        </w:rPr>
        <w:footnoteReference w:id="474"/>
      </w:r>
      <w:r>
        <w:t xml:space="preserve">  The chart of cost-based and actual increases under the PFD provided by ETSWD, however, shows LP Primary receives somewhat of a reduced increase (32.98%) from what </w:t>
      </w:r>
      <w:r>
        <w:lastRenderedPageBreak/>
        <w:t>would otherwise be a very significant (41.19%) cost based increase.</w:t>
      </w:r>
      <w:r>
        <w:rPr>
          <w:rStyle w:val="FootnoteReference"/>
        </w:rPr>
        <w:footnoteReference w:id="475"/>
      </w:r>
      <w:r>
        <w:t xml:space="preserve">  Highway Lighting, however, is greatly below cost (justifying a &gt; 300% cost based increase), but receives the maximum 1.65 x system average increase consistent with SWEPCO’s gradualism proposal.</w:t>
      </w:r>
      <w:r>
        <w:rPr>
          <w:rStyle w:val="FootnoteReference"/>
        </w:rPr>
        <w:footnoteReference w:id="476"/>
      </w:r>
      <w:r>
        <w:t xml:space="preserve">  </w:t>
      </w:r>
    </w:p>
    <w:p w14:paraId="7B6FF30E" w14:textId="77777777" w:rsidR="00EF0F1B" w:rsidRPr="00EF0F1B" w:rsidRDefault="00EF0F1B" w:rsidP="00EF0F1B">
      <w:r w:rsidRPr="00EF0F1B">
        <w:t>CARD’s exceptions</w:t>
      </w:r>
      <w:r w:rsidRPr="00EF0F1B">
        <w:rPr>
          <w:rStyle w:val="FootnoteReference"/>
        </w:rPr>
        <w:footnoteReference w:id="477"/>
      </w:r>
      <w:r w:rsidRPr="00EF0F1B">
        <w:t xml:space="preserve"> requests an additional adjustment to apply a rate floor to the </w:t>
      </w:r>
      <w:r w:rsidRPr="00EF0F1B">
        <w:rPr>
          <w:b/>
          <w:bCs/>
          <w:u w:val="single"/>
        </w:rPr>
        <w:t>net revenue increase</w:t>
      </w:r>
      <w:r w:rsidRPr="00EF0F1B">
        <w:t xml:space="preserve"> (net of Rider TCRF and Rider DCRF revenues) within the municipal/lighting customer class group.  This approach, however, contradicts recognition in the previous paragraph of its exceptions that applying customer class rate moderation to the cost-based </w:t>
      </w:r>
      <w:r w:rsidRPr="00D66FE8">
        <w:rPr>
          <w:b/>
          <w:bCs/>
          <w:u w:val="single"/>
        </w:rPr>
        <w:t>gross base rate revenue increase</w:t>
      </w:r>
      <w:r w:rsidRPr="00EF0F1B">
        <w:t xml:space="preserve"> is “generally an appropriate framework.”</w:t>
      </w:r>
      <w:r w:rsidR="00216958">
        <w:rPr>
          <w:rStyle w:val="FootnoteReference"/>
        </w:rPr>
        <w:footnoteReference w:id="478"/>
      </w:r>
      <w:r w:rsidRPr="00EF0F1B">
        <w:t xml:space="preserve">  SWEPCO continues to agree with the ALJs’ conclusion, implemented in PFD Attachment C, that moderation adjustments such as rate ceilings or rate </w:t>
      </w:r>
      <w:proofErr w:type="gramStart"/>
      <w:r w:rsidRPr="00EF0F1B">
        <w:t>floors,</w:t>
      </w:r>
      <w:proofErr w:type="gramEnd"/>
      <w:r w:rsidRPr="00EF0F1B">
        <w:t xml:space="preserve"> should be applied across the board to </w:t>
      </w:r>
      <w:r w:rsidR="00216958">
        <w:t xml:space="preserve">the </w:t>
      </w:r>
      <w:r w:rsidRPr="00D66FE8">
        <w:rPr>
          <w:bCs/>
        </w:rPr>
        <w:t>gross revenue increase,</w:t>
      </w:r>
      <w:r w:rsidRPr="00EF0F1B">
        <w:t xml:space="preserve"> without making an exception for an individual rate class.  </w:t>
      </w:r>
    </w:p>
    <w:p w14:paraId="10CC5F8B" w14:textId="77777777" w:rsidR="004B6A12" w:rsidRDefault="004B6A12" w:rsidP="004B6A12">
      <w:pPr>
        <w:tabs>
          <w:tab w:val="left" w:pos="720"/>
        </w:tabs>
      </w:pPr>
      <w:r>
        <w:t>By promoting reasonable rate impacts, while moving major customer groups to cost of service and classes within those groups closer to cost of service, SWEPCO has submitted a reasonable revenue distribution.</w:t>
      </w:r>
    </w:p>
    <w:p w14:paraId="0B7A09ED" w14:textId="77777777" w:rsidR="004B6A12" w:rsidRDefault="004B6A12" w:rsidP="004B6A12">
      <w:pPr>
        <w:tabs>
          <w:tab w:val="left" w:pos="720"/>
        </w:tabs>
      </w:pPr>
      <w:r>
        <w:t>Two issues remain of most controversy regarding the revenue distribution; the proper degree of gradualism to employ and the grouping of customer classes for purposes of distributing the revenue increase.</w:t>
      </w:r>
    </w:p>
    <w:p w14:paraId="63DB85F0" w14:textId="77777777" w:rsidR="004B6A12" w:rsidRPr="00504904" w:rsidRDefault="004B6A12" w:rsidP="00504904">
      <w:pPr>
        <w:rPr>
          <w:b/>
          <w:i/>
        </w:rPr>
      </w:pPr>
      <w:r w:rsidRPr="00504904">
        <w:rPr>
          <w:b/>
          <w:i/>
        </w:rPr>
        <w:t xml:space="preserve">Degree of </w:t>
      </w:r>
      <w:r w:rsidR="00504904" w:rsidRPr="00504904">
        <w:rPr>
          <w:b/>
          <w:i/>
        </w:rPr>
        <w:t>G</w:t>
      </w:r>
      <w:r w:rsidRPr="00504904">
        <w:rPr>
          <w:b/>
          <w:i/>
        </w:rPr>
        <w:t>radualism</w:t>
      </w:r>
    </w:p>
    <w:p w14:paraId="77AE34E8" w14:textId="77777777" w:rsidR="004B6A12" w:rsidRDefault="004B6A12" w:rsidP="004B6A12">
      <w:pPr>
        <w:tabs>
          <w:tab w:val="left" w:pos="720"/>
        </w:tabs>
      </w:pPr>
      <w:r>
        <w:t xml:space="preserve">The PFD adopts SWEPCO’s proposed gradualism constraint, whereby no customer class would receive a base rate increase greater than 1.65x the system average increase.  ETSWD (1.3x) and CARD (1.5x) argue for a lower threshold, contending that adoption of their proposal is necessary to avoid unreasonably high base rate increases.  From these recommendations, it is easy to conclude that SWEPCO has proposed a higher rate impact threshold before there is a departure from cost-based rates.  This higher threshold in and of itself reduces the subsidization </w:t>
      </w:r>
      <w:r>
        <w:lastRenderedPageBreak/>
        <w:t>among individual rate classes compared to CARD’s and ETSWD’s proposals.</w:t>
      </w:r>
      <w:r>
        <w:rPr>
          <w:rStyle w:val="FootnoteReference"/>
        </w:rPr>
        <w:footnoteReference w:id="479"/>
      </w:r>
      <w:r>
        <w:t xml:space="preserve">  </w:t>
      </w:r>
    </w:p>
    <w:p w14:paraId="7130979F" w14:textId="77777777" w:rsidR="004B6A12" w:rsidRDefault="00216958" w:rsidP="004B6A12">
      <w:pPr>
        <w:tabs>
          <w:tab w:val="left" w:pos="720"/>
        </w:tabs>
      </w:pPr>
      <w:r>
        <w:t>T</w:t>
      </w:r>
      <w:r w:rsidR="004B6A12">
        <w:t>his is admittedly an area</w:t>
      </w:r>
      <w:r>
        <w:t xml:space="preserve"> of</w:t>
      </w:r>
      <w:r w:rsidR="004B6A12">
        <w:t xml:space="preserve"> ratemaking where judgment is required and reasonable minds can disagree.</w:t>
      </w:r>
      <w:r w:rsidR="004B6A12">
        <w:rPr>
          <w:rStyle w:val="FootnoteReference"/>
        </w:rPr>
        <w:footnoteReference w:id="480"/>
      </w:r>
      <w:r w:rsidR="004B6A12">
        <w:t xml:space="preserve">  However, the lower the gradualism threshold, the more customers whose rates are below cost will be subsidized by other customers.  Looking at the overall bill impacts, as illustrated on Table 2 above, SWEPCO believes its proposal supports a reasonable outcome.  For example, while CARD points out that some classes</w:t>
      </w:r>
      <w:r>
        <w:t>’</w:t>
      </w:r>
      <w:r w:rsidR="004B6A12">
        <w:t xml:space="preserve"> base rate increase exceed 50%,</w:t>
      </w:r>
      <w:r w:rsidR="004B6A12">
        <w:rPr>
          <w:rStyle w:val="FootnoteReference"/>
        </w:rPr>
        <w:footnoteReference w:id="481"/>
      </w:r>
      <w:r w:rsidR="004B6A12">
        <w:t xml:space="preserve"> Table 2 to Ms. Jones’ testimony shows no overall bill increase in excess of 25% even at SWEPCO’s full request.  Moreover, since it is ultimately the overall bill that directly impacts customers, ETSWD is wrong in contending that the </w:t>
      </w:r>
      <w:r w:rsidR="00023332">
        <w:t xml:space="preserve">ultimate </w:t>
      </w:r>
      <w:r w:rsidR="004B6A12">
        <w:t xml:space="preserve">reasonableness of the revenue distribution must be assessed based </w:t>
      </w:r>
      <w:r w:rsidR="00023332">
        <w:t xml:space="preserve">strictly </w:t>
      </w:r>
      <w:r w:rsidR="004B6A12">
        <w:t xml:space="preserve">on base </w:t>
      </w:r>
      <w:r w:rsidR="00023332">
        <w:t>revenue</w:t>
      </w:r>
      <w:r w:rsidR="004B6A12">
        <w:t xml:space="preserve"> impacts (without considering the TCRF</w:t>
      </w:r>
      <w:r w:rsidR="004F0331">
        <w:t xml:space="preserve"> or </w:t>
      </w:r>
      <w:r w:rsidR="004B6A12">
        <w:t>DCRF outcome or fuel cost impacts) alone.</w:t>
      </w:r>
      <w:r w:rsidR="004B6A12">
        <w:rPr>
          <w:rStyle w:val="FootnoteReference"/>
        </w:rPr>
        <w:footnoteReference w:id="482"/>
      </w:r>
    </w:p>
    <w:p w14:paraId="7035ABD0" w14:textId="77777777" w:rsidR="004B6A12" w:rsidRDefault="004B6A12" w:rsidP="004B6A12">
      <w:pPr>
        <w:tabs>
          <w:tab w:val="left" w:pos="720"/>
        </w:tabs>
      </w:pPr>
      <w:r>
        <w:t>TIEC presents a new gradualism proposal for the first time in its exceptions, and recommends that “it would be appropriate for the Commission to clarify its position on gradualism in this case.”</w:t>
      </w:r>
      <w:r>
        <w:rPr>
          <w:rStyle w:val="FootnoteReference"/>
        </w:rPr>
        <w:footnoteReference w:id="483"/>
      </w:r>
      <w:r>
        <w:t xml:space="preserve">  TIEC’s proposal would cap the base rate increase at 2 times the system average increase, or 30%, whichever is greater, with a floor at zero increase.  Unfortunately, this proposal was not discussed during the hearing and its impacts have not been studied.  Moreover, although SWEPCO understands the desire to find a way to lessen the controversy associated with this issue, it does not lend itself to a one size fits all solution.  Many case specific factors may play into the resolution of gradualism issues.</w:t>
      </w:r>
      <w:r>
        <w:rPr>
          <w:rStyle w:val="FootnoteReference"/>
        </w:rPr>
        <w:footnoteReference w:id="484"/>
      </w:r>
      <w:r>
        <w:t xml:space="preserve">   </w:t>
      </w:r>
    </w:p>
    <w:p w14:paraId="560D50E8" w14:textId="77777777" w:rsidR="004B6A12" w:rsidRDefault="004B6A12" w:rsidP="004B6A12">
      <w:pPr>
        <w:tabs>
          <w:tab w:val="left" w:pos="720"/>
        </w:tabs>
      </w:pPr>
      <w:r>
        <w:t xml:space="preserve">Staff also urges that the Commission should adopt its gradualism proposal; a 22% cap on the increase (which is determined in the first instance net of the reduction in TCRF and DCRF revenues).  The Staff also proposes zero rate increase for classes whose present revenues are </w:t>
      </w:r>
      <w:r>
        <w:lastRenderedPageBreak/>
        <w:t>above cost.</w:t>
      </w:r>
      <w:r>
        <w:rPr>
          <w:rStyle w:val="FootnoteReference"/>
        </w:rPr>
        <w:footnoteReference w:id="485"/>
      </w:r>
      <w:r>
        <w:t xml:space="preserve">  Staff, however, produced no information to depict the impact of its recommendations on the various classes, in comparison to cost of service.</w:t>
      </w:r>
      <w:r>
        <w:rPr>
          <w:rStyle w:val="FootnoteReference"/>
        </w:rPr>
        <w:footnoteReference w:id="486"/>
      </w:r>
      <w:r>
        <w:t xml:space="preserve">  </w:t>
      </w:r>
    </w:p>
    <w:p w14:paraId="57E5C858" w14:textId="77777777" w:rsidR="004B6A12" w:rsidRDefault="004B6A12" w:rsidP="004B6A12">
      <w:pPr>
        <w:tabs>
          <w:tab w:val="left" w:pos="720"/>
        </w:tabs>
      </w:pPr>
      <w:r>
        <w:t>The Staff’s cap translates to a 1.5 times system average limit.  However, since Staff would scale up the cap if the rate increase is greater than its recommended level (which it is), in the end the Staff’s upper limit is little different from that recommended by the Company.</w:t>
      </w:r>
      <w:r>
        <w:rPr>
          <w:rStyle w:val="FootnoteReference"/>
        </w:rPr>
        <w:footnoteReference w:id="487"/>
      </w:r>
      <w:r>
        <w:t xml:space="preserve">  Moreover, Staff itself proposed a 1.6 times system average threshold in SWEPCO’s last rate case.</w:t>
      </w:r>
      <w:r>
        <w:rPr>
          <w:rStyle w:val="FootnoteReference"/>
        </w:rPr>
        <w:footnoteReference w:id="488"/>
      </w:r>
      <w:r>
        <w:t xml:space="preserve">  Staff’s </w:t>
      </w:r>
      <w:r w:rsidR="00023332">
        <w:t xml:space="preserve">proposed </w:t>
      </w:r>
      <w:r>
        <w:t xml:space="preserve">per se </w:t>
      </w:r>
      <w:r w:rsidR="00023332">
        <w:t>standard</w:t>
      </w:r>
      <w:r>
        <w:t xml:space="preserve"> </w:t>
      </w:r>
      <w:r w:rsidR="00023332">
        <w:t>ruling out</w:t>
      </w:r>
      <w:r>
        <w:t xml:space="preserve"> increases for classes whose present revenues are above cost should be approached with caution.  As was demonstrated in this case, anomalous test year conditions can exist such that a customer of class that appears to be above cost will not remain so under more normal business conditions going forward.</w:t>
      </w:r>
      <w:r>
        <w:rPr>
          <w:rStyle w:val="FootnoteReference"/>
        </w:rPr>
        <w:footnoteReference w:id="489"/>
      </w:r>
      <w:r>
        <w:t xml:space="preserve">  Indeed, these anomalous conditions applied specifically to the Metal Melting Transmission class, which Staff offers as an example of a class which should receive a revenue decrease on a strict cost basis.</w:t>
      </w:r>
      <w:r>
        <w:rPr>
          <w:rStyle w:val="FootnoteReference"/>
        </w:rPr>
        <w:footnoteReference w:id="490"/>
      </w:r>
      <w:r>
        <w:t xml:space="preserve">  In such circumstances, Staff’s approach of ruling out any increase would not promote cost based rates.  On balance, SWEPCO’s gradualism proposal remains a reasonable choice.</w:t>
      </w:r>
    </w:p>
    <w:p w14:paraId="2543BFAC" w14:textId="77777777" w:rsidR="004B6A12" w:rsidRPr="00504904" w:rsidRDefault="004B6A12" w:rsidP="004B6A12">
      <w:pPr>
        <w:tabs>
          <w:tab w:val="left" w:pos="720"/>
        </w:tabs>
        <w:rPr>
          <w:b/>
        </w:rPr>
      </w:pPr>
      <w:r w:rsidRPr="00504904">
        <w:rPr>
          <w:b/>
          <w:i/>
        </w:rPr>
        <w:t xml:space="preserve">Grouping of </w:t>
      </w:r>
      <w:r w:rsidR="00504904">
        <w:rPr>
          <w:b/>
          <w:i/>
        </w:rPr>
        <w:t>C</w:t>
      </w:r>
      <w:r w:rsidRPr="00504904">
        <w:rPr>
          <w:b/>
          <w:i/>
        </w:rPr>
        <w:t xml:space="preserve">ustomer </w:t>
      </w:r>
      <w:r w:rsidR="00504904">
        <w:rPr>
          <w:b/>
          <w:i/>
        </w:rPr>
        <w:t>C</w:t>
      </w:r>
      <w:r w:rsidRPr="00504904">
        <w:rPr>
          <w:b/>
          <w:i/>
        </w:rPr>
        <w:t>lasses</w:t>
      </w:r>
      <w:r w:rsidRPr="00504904">
        <w:rPr>
          <w:b/>
        </w:rPr>
        <w:t xml:space="preserve">  </w:t>
      </w:r>
    </w:p>
    <w:p w14:paraId="331CEBF2" w14:textId="77777777" w:rsidR="004B6A12" w:rsidRDefault="004B6A12" w:rsidP="00B670ED">
      <w:pPr>
        <w:rPr>
          <w:rFonts w:eastAsia="Calibri"/>
        </w:rPr>
      </w:pPr>
      <w:r>
        <w:t>The PFD correctly rejects the same Staff arguments against SWEPCO’s rate class groupings that were rejected by the Commission in Docket No. 40443, where SWEPCO’s similar approach was adopted.</w:t>
      </w:r>
      <w:r>
        <w:rPr>
          <w:rStyle w:val="FootnoteReference"/>
        </w:rPr>
        <w:footnoteReference w:id="491"/>
      </w:r>
      <w:r>
        <w:t xml:space="preserve">  Here, the Staff proposed 20 classes; in 40443, it proposed 17 classes.</w:t>
      </w:r>
      <w:r>
        <w:rPr>
          <w:rStyle w:val="FootnoteReference"/>
        </w:rPr>
        <w:footnoteReference w:id="492"/>
      </w:r>
      <w:r>
        <w:t xml:space="preserve">  In Docket No. 40443, the Commission found </w:t>
      </w:r>
      <w:r w:rsidRPr="00B27D2F">
        <w:rPr>
          <w:rFonts w:eastAsia="Calibri"/>
        </w:rPr>
        <w:t xml:space="preserve">SWEPCO’s proposed revenue </w:t>
      </w:r>
      <w:r w:rsidRPr="00B27D2F">
        <w:rPr>
          <w:rFonts w:eastAsia="Calibri"/>
        </w:rPr>
        <w:lastRenderedPageBreak/>
        <w:t xml:space="preserve">distribution </w:t>
      </w:r>
      <w:r>
        <w:rPr>
          <w:rFonts w:eastAsia="Calibri"/>
        </w:rPr>
        <w:t>“</w:t>
      </w:r>
      <w:r w:rsidRPr="00B27D2F">
        <w:rPr>
          <w:rFonts w:eastAsia="Calibri"/>
        </w:rPr>
        <w:t>reasonable because having few customers can make the class cost-of-service results for a particular class susceptible to unusual circumstances in a particular test year.</w:t>
      </w:r>
      <w:r>
        <w:rPr>
          <w:rFonts w:eastAsia="Calibri"/>
        </w:rPr>
        <w:t>”</w:t>
      </w:r>
      <w:r>
        <w:rPr>
          <w:rStyle w:val="FootnoteReference"/>
          <w:rFonts w:eastAsia="Calibri"/>
        </w:rPr>
        <w:footnoteReference w:id="493"/>
      </w:r>
      <w:r>
        <w:rPr>
          <w:rFonts w:eastAsia="Calibri"/>
        </w:rPr>
        <w:t xml:space="preserve">  </w:t>
      </w:r>
    </w:p>
    <w:p w14:paraId="7794812C" w14:textId="77777777" w:rsidR="004B6A12" w:rsidRDefault="004B6A12" w:rsidP="00B670ED">
      <w:r>
        <w:rPr>
          <w:rFonts w:eastAsia="Calibri"/>
        </w:rPr>
        <w:t xml:space="preserve">The same problem still exists, where Staff’s approach </w:t>
      </w:r>
      <w:r>
        <w:t>results in classes subject to the revenue distribution with only one, two, or three customers.</w:t>
      </w:r>
      <w:r>
        <w:rPr>
          <w:rStyle w:val="FootnoteReference"/>
        </w:rPr>
        <w:footnoteReference w:id="494"/>
      </w:r>
      <w:r>
        <w:t xml:space="preserve">  In the case of the Metal Melting Transmission service, as mentioned above, this situation clearly would cause an unreliable revenue distribution due to test year anomalies.</w:t>
      </w:r>
      <w:r>
        <w:rPr>
          <w:rStyle w:val="FootnoteReference"/>
        </w:rPr>
        <w:footnoteReference w:id="495"/>
      </w:r>
      <w:r>
        <w:t xml:space="preserve">  In Docket No. 40443, the Commission found grouping customer classes as SWEPCO has done may </w:t>
      </w:r>
      <w:r w:rsidRPr="00B27D2F">
        <w:rPr>
          <w:rFonts w:eastAsia="Calibri"/>
        </w:rPr>
        <w:t xml:space="preserve">mitigate </w:t>
      </w:r>
      <w:r>
        <w:rPr>
          <w:rFonts w:eastAsia="Calibri"/>
        </w:rPr>
        <w:t xml:space="preserve">such </w:t>
      </w:r>
      <w:r w:rsidRPr="00B27D2F">
        <w:rPr>
          <w:rFonts w:eastAsia="Calibri"/>
        </w:rPr>
        <w:t>unusual pricing circumstances.</w:t>
      </w:r>
      <w:r>
        <w:rPr>
          <w:rStyle w:val="FootnoteReference"/>
          <w:rFonts w:eastAsia="Calibri"/>
        </w:rPr>
        <w:footnoteReference w:id="496"/>
      </w:r>
      <w:r>
        <w:t xml:space="preserve">  </w:t>
      </w:r>
    </w:p>
    <w:p w14:paraId="172C6228" w14:textId="77777777" w:rsidR="004B6A12" w:rsidRPr="00C17C88" w:rsidRDefault="004B6A12" w:rsidP="004B6A12">
      <w:r>
        <w:t xml:space="preserve">Staff urges that SPS Docket No. 43695 represents a new policy direction from the Commission, </w:t>
      </w:r>
      <w:r w:rsidR="00023332">
        <w:t xml:space="preserve">which purportedly </w:t>
      </w:r>
      <w:r>
        <w:t>reject</w:t>
      </w:r>
      <w:r w:rsidR="00023332">
        <w:t>s</w:t>
      </w:r>
      <w:r>
        <w:t xml:space="preserve"> the outcome in Docket No. 40443 and embrac</w:t>
      </w:r>
      <w:r w:rsidR="00023332">
        <w:t>es</w:t>
      </w:r>
      <w:r>
        <w:t xml:space="preserve"> the more granular approach it advocates for determining the revenue distribution.  SWEPCO disagrees that Docket No. 43695 sets such a broad-sweeping precedent.  Staff highlights a single statement in the Docket No. 43695 PFD, indicating: “SPS’s method</w:t>
      </w:r>
      <w:r w:rsidRPr="00FA337A">
        <w:t xml:space="preserve"> also takes into consideration Staff</w:t>
      </w:r>
      <w:r>
        <w:t>’</w:t>
      </w:r>
      <w:r w:rsidRPr="00FA337A">
        <w:t>s position that cost allocation and revenue distribution should happen at a more granular level when possible.</w:t>
      </w:r>
      <w:r>
        <w:t>”</w:t>
      </w:r>
      <w:r>
        <w:rPr>
          <w:rStyle w:val="FootnoteReference"/>
        </w:rPr>
        <w:footnoteReference w:id="497"/>
      </w:r>
      <w:r>
        <w:t xml:space="preserve">  Staff overlooks, however, that the SPS case was addressing only the question of whether to consolidate or break out a single “C&amp;I” group within the revenue distribution exercise, </w:t>
      </w:r>
      <w:r w:rsidR="00023332">
        <w:t>a group</w:t>
      </w:r>
      <w:r>
        <w:t xml:space="preserve"> Staff contended combined classes with “dis-similar service characteristics.”</w:t>
      </w:r>
      <w:r>
        <w:rPr>
          <w:rStyle w:val="FootnoteReference"/>
        </w:rPr>
        <w:footnoteReference w:id="498"/>
      </w:r>
      <w:r>
        <w:t xml:space="preserve">  The bigger picture from Docket No. 43695 is that the ALJs and Commission </w:t>
      </w:r>
      <w:r w:rsidRPr="00D42248">
        <w:rPr>
          <w:b/>
          <w:u w:val="single"/>
        </w:rPr>
        <w:t>rejected</w:t>
      </w:r>
      <w:r>
        <w:t xml:space="preserve"> Staff’s position that the number of the utility’s classes should be greatly expanded for various rate</w:t>
      </w:r>
      <w:r w:rsidR="004F0331">
        <w:t>-</w:t>
      </w:r>
      <w:r>
        <w:t>setting purposes and objectives.  Staff argued for 24 rate classes; the ALJs and the Commission adopted SPS’ proposed 11 classes.</w:t>
      </w:r>
      <w:r>
        <w:rPr>
          <w:rStyle w:val="FootnoteReference"/>
        </w:rPr>
        <w:footnoteReference w:id="499"/>
      </w:r>
    </w:p>
    <w:p w14:paraId="1CBE6509" w14:textId="77777777" w:rsidR="00CE3E21" w:rsidRDefault="00EF4D0E" w:rsidP="003A17DF">
      <w:pPr>
        <w:pStyle w:val="Heading2"/>
        <w:numPr>
          <w:ilvl w:val="0"/>
          <w:numId w:val="14"/>
        </w:numPr>
        <w:spacing w:after="120"/>
        <w:ind w:hanging="720"/>
      </w:pPr>
      <w:bookmarkStart w:id="64" w:name="_Toc497123855"/>
      <w:r w:rsidRPr="00172DED">
        <w:lastRenderedPageBreak/>
        <w:t>Distributed Renewable Generation</w:t>
      </w:r>
      <w:bookmarkEnd w:id="64"/>
      <w:r w:rsidR="00CE3E21" w:rsidRPr="00172DED">
        <w:t xml:space="preserve"> </w:t>
      </w:r>
    </w:p>
    <w:p w14:paraId="4F36CF34" w14:textId="77777777" w:rsidR="004B6A12" w:rsidRDefault="004B6A12" w:rsidP="004B6A12">
      <w:r>
        <w:t xml:space="preserve">The ALJs correctly determined that Commission rules, and clear prior Commission pronouncements explaining those rules, support the adoption of SWEPCO’s new Distributed Renewable Generation (DRG) tariff offering.  </w:t>
      </w:r>
      <w:r w:rsidR="00023332">
        <w:t xml:space="preserve">The Commission should reject </w:t>
      </w:r>
      <w:r>
        <w:t xml:space="preserve">OPUC’s renewed request that there must be extensive studies </w:t>
      </w:r>
      <w:r w:rsidR="004F0331">
        <w:t>before</w:t>
      </w:r>
      <w:r>
        <w:t xml:space="preserve"> implementation of the DRG tariff, since the new tariff is simply carrying out the requirements for pricing DRG outflows previously promulgated by the Commission.</w:t>
      </w:r>
    </w:p>
    <w:p w14:paraId="04B7DBEE" w14:textId="77777777" w:rsidR="004B6A12" w:rsidRDefault="004B6A12" w:rsidP="004B6A12">
      <w:r>
        <w:t xml:space="preserve">The resolution of this issue is provided in the terms of the Commission rule governing DRG pricing.  16 TAC </w:t>
      </w:r>
      <w:r w:rsidRPr="001C3BDD">
        <w:t>§</w:t>
      </w:r>
      <w:r>
        <w:t xml:space="preserve"> 25.217 (e</w:t>
      </w:r>
      <w:proofErr w:type="gramStart"/>
      <w:r>
        <w:t>)(</w:t>
      </w:r>
      <w:proofErr w:type="gramEnd"/>
      <w:r>
        <w:t xml:space="preserve">1) and (f)(1) expressly require that SWEPCO purchase all DRG energy outflows at a value consistent with 16 TAC </w:t>
      </w:r>
      <w:r w:rsidRPr="009036AA">
        <w:t>§</w:t>
      </w:r>
      <w:r>
        <w:t xml:space="preserve"> 25.242.  Section 25.242 in turn is the Commission rule that establishes the obligation of a utility to make purchases from a qualifying facility at rates that “shall not exceed avoided cost.”</w:t>
      </w:r>
      <w:r>
        <w:rPr>
          <w:rStyle w:val="FootnoteReference"/>
        </w:rPr>
        <w:footnoteReference w:id="500"/>
      </w:r>
      <w:r>
        <w:t xml:space="preserve">  There is no dispute in this case that SWEPCO’s proposed pricing for DRG outflows (the average monthly day-ahead </w:t>
      </w:r>
      <w:r w:rsidR="004F0331">
        <w:t>Southwest Power Pool (</w:t>
      </w:r>
      <w:r>
        <w:t>SPP</w:t>
      </w:r>
      <w:r w:rsidR="004F0331">
        <w:t>)</w:t>
      </w:r>
      <w:r>
        <w:t xml:space="preserve"> market price</w:t>
      </w:r>
      <w:r>
        <w:rPr>
          <w:rStyle w:val="FootnoteReference"/>
        </w:rPr>
        <w:footnoteReference w:id="501"/>
      </w:r>
      <w:r>
        <w:t xml:space="preserve">) reflects the Commission-approved avoided energy cost, and OPUC has never contended in this proceeding that the current net metering concept (as in SWEPCO’s existing DRG tariff) results in compensation for DRG customers based on avoided cost.   </w:t>
      </w:r>
    </w:p>
    <w:p w14:paraId="1C7CEB5E" w14:textId="77777777" w:rsidR="004B6A12" w:rsidRDefault="004B6A12" w:rsidP="004B6A12">
      <w:r>
        <w:t xml:space="preserve">Importantly, the Commission has already considered and decided how utilities such as SWEPCO are to meter and compensate DRG customers, and in doing so has rejected the use of net metering.  The Company’s proposal would simply make its DRG offering consistent with the Commission’s prior decisions.  In adopting 16 TAC </w:t>
      </w:r>
      <w:r w:rsidRPr="009036AA">
        <w:t>§</w:t>
      </w:r>
      <w:r>
        <w:t xml:space="preserve"> 25.217, the Commission stated that the rule addresses the sale of DRG outflows.</w:t>
      </w:r>
      <w:r>
        <w:rPr>
          <w:rStyle w:val="FootnoteReference"/>
        </w:rPr>
        <w:footnoteReference w:id="502"/>
      </w:r>
      <w:r>
        <w:t xml:space="preserve">  It interpreted PURA as requiring that DRG meters be capable of measuring outflows (defined in 16 TAC </w:t>
      </w:r>
      <w:r w:rsidRPr="009036AA">
        <w:t>§</w:t>
      </w:r>
      <w:r>
        <w:t xml:space="preserve"> 25.217 as energy produced by DRG and delivered to an electric utility distribution system) separately from inflows.  It found “rollback” meters to be incapable of providing this measurement, and therefore identified such meters (and </w:t>
      </w:r>
      <w:r>
        <w:lastRenderedPageBreak/>
        <w:t>thus the net metering concept) as being prohibited by PURA.</w:t>
      </w:r>
      <w:r>
        <w:rPr>
          <w:rStyle w:val="FootnoteReference"/>
        </w:rPr>
        <w:footnoteReference w:id="503"/>
      </w:r>
      <w:r>
        <w:t xml:space="preserve">  (The Commission defined a rollback meter as a single meter which runs forward and backward, which has the effect of netting inflows and outflows over the billing period).  </w:t>
      </w:r>
    </w:p>
    <w:p w14:paraId="7F5E2792" w14:textId="77777777" w:rsidR="004B6A12" w:rsidRDefault="004B6A12" w:rsidP="004B6A12">
      <w:pPr>
        <w:tabs>
          <w:tab w:val="left" w:pos="720"/>
        </w:tabs>
      </w:pPr>
      <w:r>
        <w:t>The Commission concluded that a DRG customer is entitled to compensation for energy at up to the utility’s avoided cost, stating, “[a]voided cost is an appropriate purchase price, because it is equal to the cost the electric utility would have incurred had it not purchased from the [DRG] Owner.”</w:t>
      </w:r>
      <w:r>
        <w:rPr>
          <w:rStyle w:val="FootnoteReference"/>
        </w:rPr>
        <w:footnoteReference w:id="504"/>
      </w:r>
      <w:r>
        <w:t xml:space="preserve">  This is the clear standard incorporated in 16 TAC </w:t>
      </w:r>
      <w:r w:rsidRPr="001C3BDD">
        <w:t>§</w:t>
      </w:r>
      <w:r>
        <w:t xml:space="preserve"> 25.217 (e</w:t>
      </w:r>
      <w:proofErr w:type="gramStart"/>
      <w:r>
        <w:t>)(</w:t>
      </w:r>
      <w:proofErr w:type="gramEnd"/>
      <w:r>
        <w:t xml:space="preserve">1) and (f)(1).  When the Commission subsequently amended 16 TAC § 25.217, one or more parties urged that a separate proceeding be opened to investigate the potential implementation of net metering.  The Commission responded: </w:t>
      </w:r>
    </w:p>
    <w:p w14:paraId="5A21159B" w14:textId="77777777" w:rsidR="004B6A12" w:rsidRDefault="004B6A12" w:rsidP="00B670ED">
      <w:pPr>
        <w:tabs>
          <w:tab w:val="left" w:pos="720"/>
        </w:tabs>
        <w:spacing w:after="180" w:line="240" w:lineRule="auto"/>
        <w:ind w:left="720" w:right="720" w:firstLine="0"/>
      </w:pPr>
      <w:r>
        <w:t>The issue of net metering was previously addressed in Project No. 34890.  As Oncor accurately quoted in its comments regarding the previous rulemaking, the commission found the position of IREC and Public Citizen regarding netting over the billing period to be inconsistent with PURA § 39.914(d) and § 39.916(f), and further stated in a subsequent order that these sections of PURA do not differentiate whether the meters are located in an area with customer choice.</w:t>
      </w:r>
      <w:r>
        <w:rPr>
          <w:rStyle w:val="FootnoteReference"/>
        </w:rPr>
        <w:footnoteReference w:id="505"/>
      </w:r>
    </w:p>
    <w:p w14:paraId="4246C808" w14:textId="77777777" w:rsidR="004B6A12" w:rsidRDefault="004B6A12" w:rsidP="004B6A12">
      <w:pPr>
        <w:tabs>
          <w:tab w:val="left" w:pos="360"/>
          <w:tab w:val="left" w:pos="450"/>
        </w:tabs>
      </w:pPr>
      <w:r>
        <w:t xml:space="preserve">In the face of these clear pronouncements regarding the meaning and implementation of 16 TAC </w:t>
      </w:r>
      <w:r w:rsidRPr="001C3BDD">
        <w:t>§</w:t>
      </w:r>
      <w:r>
        <w:t xml:space="preserve"> 25.217, OPUC argues that the DRG tariff offering is inappropriate because it does not meet the metering and billing options of 16 TAC </w:t>
      </w:r>
      <w:r w:rsidRPr="001C3BDD">
        <w:t>§</w:t>
      </w:r>
      <w:r>
        <w:t xml:space="preserve"> 25.242(h</w:t>
      </w:r>
      <w:proofErr w:type="gramStart"/>
      <w:r>
        <w:t>)(</w:t>
      </w:r>
      <w:proofErr w:type="gramEnd"/>
      <w:r>
        <w:t xml:space="preserve">3).  This argument can easily be dismissed.  OPUC fails to recognize the Company already does offer, and will continue to offer, these exact options to its customers, as set out on page 3 of its Tariff Sheet No. </w:t>
      </w:r>
      <w:proofErr w:type="gramStart"/>
      <w:r>
        <w:t>IV-49</w:t>
      </w:r>
      <w:r w:rsidR="00023332">
        <w:t>.</w:t>
      </w:r>
      <w:proofErr w:type="gramEnd"/>
      <w:r>
        <w:rPr>
          <w:rStyle w:val="FootnoteReference"/>
        </w:rPr>
        <w:footnoteReference w:id="506"/>
      </w:r>
      <w:r>
        <w:t xml:space="preserve"> </w:t>
      </w:r>
      <w:r w:rsidR="00023332">
        <w:t xml:space="preserve"> This</w:t>
      </w:r>
      <w:r>
        <w:t xml:space="preserve"> is an ongoing, unchallenged and unmodified tariff, separate from and unaffected by the new and additional DRG offering.  Customers who are eligible and wish to receive service under it may do so now, and shall continue to be able to do so regardless of the outcome of this proceeding.  As Staff points out, the Commission has already stated that customers have the ability to take </w:t>
      </w:r>
      <w:r>
        <w:lastRenderedPageBreak/>
        <w:t xml:space="preserve">advantage of this and other provisions of 16 TAC </w:t>
      </w:r>
      <w:r w:rsidRPr="001C3BDD">
        <w:t>§</w:t>
      </w:r>
      <w:r>
        <w:t xml:space="preserve"> 25.242 by obtaining QF certification.</w:t>
      </w:r>
      <w:r>
        <w:rPr>
          <w:rStyle w:val="FootnoteReference"/>
        </w:rPr>
        <w:footnoteReference w:id="507"/>
      </w:r>
    </w:p>
    <w:p w14:paraId="3074A3E3" w14:textId="77777777" w:rsidR="004B6A12" w:rsidRDefault="004B6A12" w:rsidP="004B6A12">
      <w:pPr>
        <w:tabs>
          <w:tab w:val="left" w:pos="360"/>
          <w:tab w:val="left" w:pos="450"/>
        </w:tabs>
      </w:pPr>
      <w:r>
        <w:t xml:space="preserve">What 16 TAC </w:t>
      </w:r>
      <w:r w:rsidRPr="001C3BDD">
        <w:t>§</w:t>
      </w:r>
      <w:r>
        <w:t xml:space="preserve"> 25.217(e</w:t>
      </w:r>
      <w:proofErr w:type="gramStart"/>
      <w:r>
        <w:t>)(</w:t>
      </w:r>
      <w:proofErr w:type="gramEnd"/>
      <w:r>
        <w:t xml:space="preserve">1) and (f)(1) plainly take from 16 TAC </w:t>
      </w:r>
      <w:r w:rsidRPr="001C3BDD">
        <w:t>§</w:t>
      </w:r>
      <w:r>
        <w:t xml:space="preserve"> 25.242 is the requirement that the utility “buy all DRG out-flows </w:t>
      </w:r>
      <w:r w:rsidRPr="00AA3D1B">
        <w:rPr>
          <w:b/>
          <w:u w:val="single"/>
        </w:rPr>
        <w:t>at a value</w:t>
      </w:r>
      <w:r>
        <w:t xml:space="preserve"> consistent with the requirements of §25.242 of this title.”</w:t>
      </w:r>
      <w:r w:rsidR="004F0331">
        <w:rPr>
          <w:rStyle w:val="FootnoteReference"/>
        </w:rPr>
        <w:footnoteReference w:id="508"/>
      </w:r>
      <w:r>
        <w:t xml:space="preserve">  That value, as the PFD correctly determines, is the market-based avoided energy cost proposed by SWEPCO, consistent with 16 TAC §</w:t>
      </w:r>
      <w:r w:rsidR="00B670ED">
        <w:t> </w:t>
      </w:r>
      <w:r>
        <w:t>25.242(g</w:t>
      </w:r>
      <w:proofErr w:type="gramStart"/>
      <w:r>
        <w:t>)(</w:t>
      </w:r>
      <w:proofErr w:type="gramEnd"/>
      <w:r>
        <w:t>2).  SWEPCO’s proposal meets the requirements of Commission rules and policy relating to metering and compensation for DRG customers, and should be adopted.</w:t>
      </w:r>
    </w:p>
    <w:p w14:paraId="05C01229" w14:textId="77777777" w:rsidR="004B6A12" w:rsidRDefault="004B6A12" w:rsidP="004B6A12">
      <w:pPr>
        <w:tabs>
          <w:tab w:val="left" w:pos="360"/>
          <w:tab w:val="left" w:pos="450"/>
        </w:tabs>
      </w:pPr>
      <w:r>
        <w:t xml:space="preserve">Finally, OPUC argues that SWEPCO’s current DRG tariff was approved while the current provisions of 16 TAC </w:t>
      </w:r>
      <w:r w:rsidRPr="001C3BDD">
        <w:t>§</w:t>
      </w:r>
      <w:r>
        <w:t xml:space="preserve"> 25.217 were in place, and that this is an indicator of Commission acceptance despite the contrary terms of the rule.</w:t>
      </w:r>
      <w:r>
        <w:rPr>
          <w:rStyle w:val="FootnoteReference"/>
        </w:rPr>
        <w:footnoteReference w:id="509"/>
      </w:r>
      <w:r>
        <w:t xml:space="preserve">  </w:t>
      </w:r>
      <w:r w:rsidR="00023332">
        <w:t>OPUC</w:t>
      </w:r>
      <w:r>
        <w:t xml:space="preserve"> overlooks, however, that the previous approval of the existing tariff was in an uncontested, administratively processed proceeding</w:t>
      </w:r>
      <w:r w:rsidR="00023332">
        <w:t>.</w:t>
      </w:r>
      <w:r>
        <w:rPr>
          <w:rStyle w:val="FootnoteReference"/>
        </w:rPr>
        <w:footnoteReference w:id="510"/>
      </w:r>
      <w:r>
        <w:t xml:space="preserve"> </w:t>
      </w:r>
      <w:r w:rsidR="00023332">
        <w:t xml:space="preserve"> S</w:t>
      </w:r>
      <w:r>
        <w:t xml:space="preserve">ince that point, including the re-approval of the existing tariff in SWEPCO’s last rate case, no change to the tariff has been proposed, and no exception or contest has been raised, until this proceeding.  These prior proceedings cannot supersede the requirements of the Commission’s rules, particularly when a </w:t>
      </w:r>
      <w:r w:rsidR="00023332">
        <w:t>new</w:t>
      </w:r>
      <w:r>
        <w:t xml:space="preserve"> tariff is first proposed and thoroughly vetted, as in this case.</w:t>
      </w:r>
    </w:p>
    <w:p w14:paraId="34856871" w14:textId="77777777" w:rsidR="004B6A12" w:rsidRDefault="004B6A12" w:rsidP="004B6A12">
      <w:pPr>
        <w:tabs>
          <w:tab w:val="left" w:pos="360"/>
          <w:tab w:val="left" w:pos="450"/>
        </w:tabs>
      </w:pPr>
      <w:r>
        <w:t xml:space="preserve">Sierra Club’s </w:t>
      </w:r>
      <w:r w:rsidR="000C768C">
        <w:t>e</w:t>
      </w:r>
      <w:r>
        <w:t xml:space="preserve">xceptions argue for permanent grandfathering, or </w:t>
      </w:r>
      <w:r w:rsidR="00023332">
        <w:t xml:space="preserve">a </w:t>
      </w:r>
      <w:r>
        <w:t>much lengthier period of grandfathering, for current DRG customers, and emphasize on several occasions that this was SWEPCO’s proposal as well.  SWEPCO would simply note that although it did indeed propose grandfathering without time limit for existing DRG customers in its direct case, after review of Staff’s position, Company witness Aaron’s rebuttal indicated that the Company would also not oppose “a specified time period to continue the application of grandfathering if the Commission desires to eliminate SWEPCO’s grandfathering provision.”</w:t>
      </w:r>
      <w:r>
        <w:rPr>
          <w:rStyle w:val="FootnoteReference"/>
        </w:rPr>
        <w:footnoteReference w:id="511"/>
      </w:r>
    </w:p>
    <w:p w14:paraId="7D047DB4" w14:textId="77777777" w:rsidR="00CE3E21" w:rsidRDefault="00D51ECB" w:rsidP="003A17DF">
      <w:pPr>
        <w:pStyle w:val="Heading2"/>
        <w:numPr>
          <w:ilvl w:val="0"/>
          <w:numId w:val="14"/>
        </w:numPr>
        <w:ind w:hanging="720"/>
      </w:pPr>
      <w:bookmarkStart w:id="65" w:name="_Toc497123856"/>
      <w:r w:rsidRPr="00172DED">
        <w:lastRenderedPageBreak/>
        <w:t>Other Rate Design Issues</w:t>
      </w:r>
      <w:bookmarkEnd w:id="65"/>
      <w:r w:rsidR="00CE3E21" w:rsidRPr="00172DED">
        <w:t xml:space="preserve"> </w:t>
      </w:r>
    </w:p>
    <w:p w14:paraId="30576D9C" w14:textId="77777777" w:rsidR="004B6A12" w:rsidRDefault="004B6A12" w:rsidP="004B6A12">
      <w:pPr>
        <w:tabs>
          <w:tab w:val="left" w:pos="720"/>
        </w:tabs>
        <w:spacing w:after="180"/>
      </w:pPr>
      <w:r>
        <w:t>The PFD correctly adopts SWEPCO’s rate design as the general framework for designing rates in this case.  Staff contends that its rate design is preferable because it has moved rates closer to their mathematical “unit cost.”</w:t>
      </w:r>
      <w:r>
        <w:rPr>
          <w:rStyle w:val="FootnoteReference"/>
        </w:rPr>
        <w:footnoteReference w:id="512"/>
      </w:r>
      <w:r>
        <w:t xml:space="preserve">  Staff’s exceptions and testimony, however, reveal scant attention to other factor</w:t>
      </w:r>
      <w:r w:rsidR="00FF2D37">
        <w:t>s</w:t>
      </w:r>
      <w:r>
        <w:t>—rate impact, rate continuity from case to case, migration impacts—that are important in determining a reasonable rate design.  The effects of such considerations are addressed more below in connection with particular rate design issues.  SWEPCO did not propose major changes in the structure or relationships among rates that was approved in its last rate case;</w:t>
      </w:r>
      <w:r>
        <w:rPr>
          <w:rStyle w:val="FootnoteReference"/>
        </w:rPr>
        <w:footnoteReference w:id="513"/>
      </w:r>
      <w:r>
        <w:t xml:space="preserve"> this approach promotes stability in rates and avoids unexpected rate impacts undesirable from the perspective of customer expectations.</w:t>
      </w:r>
      <w:r>
        <w:rPr>
          <w:rStyle w:val="FootnoteReference"/>
        </w:rPr>
        <w:footnoteReference w:id="514"/>
      </w:r>
      <w:r>
        <w:t xml:space="preserve">  Nonetheless, SWEPCO’s approach moves customer classes to cost, or closer to cost, to the extent this can be accomplished without unacceptable rate impacts.</w:t>
      </w:r>
      <w:r>
        <w:rPr>
          <w:rStyle w:val="FootnoteReference"/>
        </w:rPr>
        <w:footnoteReference w:id="515"/>
      </w:r>
      <w:r>
        <w:t xml:space="preserve">  No customer group other than Wal</w:t>
      </w:r>
      <w:r w:rsidR="004F0331">
        <w:t>-M</w:t>
      </w:r>
      <w:r>
        <w:t xml:space="preserve">art (which did not file exceptions) has objected to SWEPCO’s general approach to rate design.  </w:t>
      </w:r>
    </w:p>
    <w:p w14:paraId="2514BFE2" w14:textId="77777777" w:rsidR="006E1661" w:rsidRDefault="006E1661" w:rsidP="003A17DF">
      <w:pPr>
        <w:pStyle w:val="Heading3"/>
        <w:keepNext w:val="0"/>
        <w:numPr>
          <w:ilvl w:val="0"/>
          <w:numId w:val="25"/>
        </w:numPr>
      </w:pPr>
      <w:bookmarkStart w:id="66" w:name="_Toc497123857"/>
      <w:r w:rsidRPr="008A289F">
        <w:t>Lighting and Power (LP) and Large Lighting and Power (LLP)</w:t>
      </w:r>
      <w:bookmarkEnd w:id="66"/>
    </w:p>
    <w:p w14:paraId="2811FC26" w14:textId="77777777" w:rsidR="004B6A12" w:rsidRPr="00C750DD" w:rsidRDefault="004B6A12" w:rsidP="00D8461F">
      <w:pPr>
        <w:tabs>
          <w:tab w:val="left" w:pos="720"/>
        </w:tabs>
        <w:rPr>
          <w:b/>
          <w:i/>
        </w:rPr>
      </w:pPr>
      <w:r w:rsidRPr="00C750DD">
        <w:rPr>
          <w:b/>
          <w:i/>
        </w:rPr>
        <w:t>LP Primary/Secondary Service</w:t>
      </w:r>
    </w:p>
    <w:p w14:paraId="5502F660" w14:textId="77777777" w:rsidR="004B6A12" w:rsidRDefault="004B6A12" w:rsidP="00B670ED">
      <w:r>
        <w:t xml:space="preserve">The PFD correctly rejects the Staff’s proposal to change the relationship between the energy charge for primary and secondary LP customers because Staff failed to adequately justify this change to the status quo rate design.  Staff relies almost exclusively on the point that the unit capacity cost is higher for secondary than primary customers, and points to SWEPCO’s RFI responses included in Staff Ex. 25 as support.  However, while SWEPCO agrees that the unit costs reflect this difference, the referenced RFI response went on to note that the fact that secondary customers have higher unit costs “highlights an issue that sole reliance on the unit cost </w:t>
      </w:r>
      <w:r>
        <w:lastRenderedPageBreak/>
        <w:t>analysis can lead to rate recommendations that are not reasonable.”</w:t>
      </w:r>
      <w:r>
        <w:rPr>
          <w:rStyle w:val="FootnoteReference"/>
        </w:rPr>
        <w:footnoteReference w:id="516"/>
      </w:r>
      <w:r>
        <w:t xml:space="preserve">  </w:t>
      </w:r>
    </w:p>
    <w:p w14:paraId="6DB2A008" w14:textId="77777777" w:rsidR="004B6A12" w:rsidRPr="006B3C0A" w:rsidRDefault="004B6A12" w:rsidP="00B670ED">
      <w:r>
        <w:t>The unit cost study simply reflects the mathematical result of dividing test year cost data by test year billing determinants.  There may be any number of reasons why such a snapshot does not produce unit costs reflective of fundamental cost causation principles.  The fundamental cost causation principle remains that primary customers are less expensive to serve than secondary customers, because the former customers use only primary facilities, while the latter use both primary and secondary facilities.</w:t>
      </w:r>
      <w:r>
        <w:rPr>
          <w:rStyle w:val="FootnoteReference"/>
        </w:rPr>
        <w:footnoteReference w:id="517"/>
      </w:r>
      <w:r>
        <w:tab/>
      </w:r>
    </w:p>
    <w:p w14:paraId="78B246F8" w14:textId="77777777" w:rsidR="004B6A12" w:rsidRPr="00C750DD" w:rsidRDefault="004B6A12" w:rsidP="00B670ED">
      <w:pPr>
        <w:tabs>
          <w:tab w:val="left" w:pos="720"/>
        </w:tabs>
        <w:rPr>
          <w:b/>
          <w:i/>
        </w:rPr>
      </w:pPr>
      <w:r w:rsidRPr="00C750DD">
        <w:rPr>
          <w:b/>
          <w:i/>
        </w:rPr>
        <w:t>Staff’s New Proposed LP Transmission Rate</w:t>
      </w:r>
    </w:p>
    <w:p w14:paraId="6A597FDE" w14:textId="77777777" w:rsidR="004B6A12" w:rsidRDefault="004B6A12" w:rsidP="00B670ED">
      <w:r>
        <w:t xml:space="preserve">The ALJs correctly determined the proponent of a new rate has the burden of proof to justify that rate, and that Staff’s somewhat cursory approach to supporting a </w:t>
      </w:r>
      <w:r w:rsidR="00FF2D37">
        <w:t xml:space="preserve">new </w:t>
      </w:r>
      <w:r>
        <w:t>rate solely by reference to the objective of achieving cost based rates is not sufficient.</w:t>
      </w:r>
      <w:r>
        <w:rPr>
          <w:rStyle w:val="FootnoteReference"/>
        </w:rPr>
        <w:footnoteReference w:id="518"/>
      </w:r>
      <w:r>
        <w:t xml:space="preserve">  Staff’s </w:t>
      </w:r>
      <w:r w:rsidR="000C768C">
        <w:t>e</w:t>
      </w:r>
      <w:r>
        <w:t>xceptions, in fact, do not even address the rate impact concerns raised, but unaddressed in its proposal.  As Mr. Aaron explained, the energy charge for Staff’s new recommended transmission-level rate is significantly lower than the equivalent charge for LLP customers, so that the latter customers will likely migrate to the lower LP rate.  This will undermine the integrity of both the LLP and LP rates and prevent SWEPCO from recovering the intended revenue requirement the rates are designed to collect.  Staff has not studied these impacts,</w:t>
      </w:r>
      <w:r>
        <w:rPr>
          <w:rStyle w:val="FootnoteReference"/>
        </w:rPr>
        <w:footnoteReference w:id="519"/>
      </w:r>
      <w:r>
        <w:t xml:space="preserve"> and acknowledged the potential for adverse effects, which calls into question the viability of Staff’s proposal.</w:t>
      </w:r>
      <w:r>
        <w:rPr>
          <w:rStyle w:val="FootnoteReference"/>
        </w:rPr>
        <w:footnoteReference w:id="520"/>
      </w:r>
      <w:r>
        <w:t xml:space="preserve">  The PFD correctly rejects Staff’s proposal to adopt a new LP transmission rate.</w:t>
      </w:r>
      <w:r w:rsidRPr="00B01616">
        <w:t xml:space="preserve"> </w:t>
      </w:r>
    </w:p>
    <w:p w14:paraId="068B5785" w14:textId="77777777" w:rsidR="004B6A12" w:rsidRPr="00C750DD" w:rsidRDefault="004B6A12" w:rsidP="00C750DD">
      <w:pPr>
        <w:ind w:left="720" w:firstLine="0"/>
        <w:rPr>
          <w:b/>
          <w:i/>
        </w:rPr>
      </w:pPr>
      <w:r w:rsidRPr="00C750DD">
        <w:rPr>
          <w:b/>
          <w:i/>
        </w:rPr>
        <w:t>Mi</w:t>
      </w:r>
      <w:r w:rsidR="00C750DD" w:rsidRPr="00C750DD">
        <w:rPr>
          <w:b/>
          <w:i/>
        </w:rPr>
        <w:t>n</w:t>
      </w:r>
      <w:r w:rsidRPr="00C750DD">
        <w:rPr>
          <w:b/>
          <w:i/>
        </w:rPr>
        <w:t>i</w:t>
      </w:r>
      <w:r w:rsidR="00C750DD" w:rsidRPr="00C750DD">
        <w:rPr>
          <w:b/>
          <w:i/>
        </w:rPr>
        <w:t>m</w:t>
      </w:r>
      <w:r w:rsidRPr="00C750DD">
        <w:rPr>
          <w:b/>
          <w:i/>
        </w:rPr>
        <w:t>um Bill Calculations</w:t>
      </w:r>
    </w:p>
    <w:p w14:paraId="2AA94410" w14:textId="77777777" w:rsidR="004B6A12" w:rsidRPr="00705AFA" w:rsidRDefault="004B6A12" w:rsidP="004B6A12">
      <w:r>
        <w:t>Staff urges that its electronic rate design work papers show that it properly calculated applicable minimum bill provisions.</w:t>
      </w:r>
      <w:r>
        <w:rPr>
          <w:rStyle w:val="FootnoteReference"/>
        </w:rPr>
        <w:footnoteReference w:id="521"/>
      </w:r>
      <w:r>
        <w:t xml:space="preserve">  However, because the ALJs affirmed the use of </w:t>
      </w:r>
      <w:r>
        <w:lastRenderedPageBreak/>
        <w:t xml:space="preserve">SWEPCO’s rate design rather than Staff’s, this point is moot.  Moreover, the information provided by Staff in its exceptions does not </w:t>
      </w:r>
      <w:r w:rsidR="00FF2D37">
        <w:t>address the issue</w:t>
      </w:r>
      <w:r>
        <w:t xml:space="preserve">.  </w:t>
      </w:r>
      <w:r w:rsidR="00FF2D37">
        <w:t>Staff’s points regarding SWEPCO’s review of Staff’s electronic workpapers</w:t>
      </w:r>
      <w:r w:rsidR="00FF2D37">
        <w:rPr>
          <w:rStyle w:val="FootnoteReference"/>
        </w:rPr>
        <w:footnoteReference w:id="522"/>
      </w:r>
      <w:r w:rsidR="00FF2D37">
        <w:t xml:space="preserve"> (raised initially only regarding the TCRF and DCRF baselines) are not on point to the minimum bill calculations, as it is the accuracy of Staff’s calculations that remains a concern.  </w:t>
      </w:r>
      <w:r>
        <w:t>For example, regarding the Large Lighting &amp; Power class, the PFD workpapers correctly calculate the minimum bill as $90,200 ($9.02 x 10,000 = $90,200).  The rate sheet referenced in the Staff’s exceptions, however, lists the minimum bill for LL&amp;P as $90,157.</w:t>
      </w:r>
      <w:r>
        <w:rPr>
          <w:rStyle w:val="FootnoteReference"/>
        </w:rPr>
        <w:footnoteReference w:id="523"/>
      </w:r>
      <w:r>
        <w:t xml:space="preserve"> </w:t>
      </w:r>
    </w:p>
    <w:p w14:paraId="3AA4DCE0" w14:textId="77777777" w:rsidR="004B6A12" w:rsidRDefault="004B6A12" w:rsidP="004B6A12">
      <w:pPr>
        <w:pStyle w:val="Heading3"/>
      </w:pPr>
      <w:r>
        <w:t xml:space="preserve"> </w:t>
      </w:r>
      <w:bookmarkStart w:id="67" w:name="_Toc497123858"/>
      <w:r>
        <w:t>Metal Melting Secondary and Primary Rate Design</w:t>
      </w:r>
      <w:bookmarkEnd w:id="67"/>
    </w:p>
    <w:p w14:paraId="61BA46A7" w14:textId="77777777" w:rsidR="004B6A12" w:rsidRDefault="004B6A12" w:rsidP="004B6A12">
      <w:r>
        <w:t xml:space="preserve">Staff makes much the same argument regarding the design of Metal Melting primary and secondary rates, based exclusively on comparison of unit costs, which it makes in connection with rate design for LP primary and secondary rates.  The same fundamental cost causation concepts discussed above regarding LP primary and secondary customers apply equally to the cost of serving Metal Melting Secondary and Primary customers, and support the PFD recommendation.  </w:t>
      </w:r>
      <w:r w:rsidR="00FF2D37">
        <w:t xml:space="preserve">In the discovery response included in </w:t>
      </w:r>
      <w:r>
        <w:t>Staff Ex. 25, p. 3</w:t>
      </w:r>
      <w:r w:rsidR="00FF2D37">
        <w:t>, SWEPCO</w:t>
      </w:r>
      <w:r>
        <w:t xml:space="preserve"> provides the same caveat on the use of unit cost studies to determine rate differentials discussed above in association with the LP rate.</w:t>
      </w:r>
    </w:p>
    <w:p w14:paraId="4235673C" w14:textId="77777777" w:rsidR="004B6A12" w:rsidRDefault="004B6A12" w:rsidP="004B6A12">
      <w:pPr>
        <w:pStyle w:val="Heading3"/>
      </w:pPr>
      <w:r>
        <w:t xml:space="preserve"> </w:t>
      </w:r>
      <w:bookmarkStart w:id="68" w:name="_Toc497123859"/>
      <w:r>
        <w:t>General Service (GS) Rate Design</w:t>
      </w:r>
      <w:bookmarkEnd w:id="68"/>
    </w:p>
    <w:p w14:paraId="15C63839" w14:textId="77777777" w:rsidR="004B6A12" w:rsidRDefault="004B6A12" w:rsidP="004B6A12">
      <w:r>
        <w:t>In response to the PFD conclusion that Staff has failed to adequately justify its proposal to create three different GS rates in place of the one existing rate, Staff seems to contend that sufficient justification and evidence is provided by its objective to “prioritize cost-based rates.”</w:t>
      </w:r>
      <w:r>
        <w:rPr>
          <w:rStyle w:val="FootnoteReference"/>
        </w:rPr>
        <w:footnoteReference w:id="524"/>
      </w:r>
      <w:r>
        <w:t xml:space="preserve">  Though SWEPCO bears the burden of proof to justify its rate proposals, as a proponent of a new rate design that departs from the status quo, Staff bears the burden of proof </w:t>
      </w:r>
      <w:r>
        <w:lastRenderedPageBreak/>
        <w:t>to justify a need for the new multiple rates.</w:t>
      </w:r>
      <w:r>
        <w:rPr>
          <w:rStyle w:val="FootnoteReference"/>
        </w:rPr>
        <w:footnoteReference w:id="525"/>
      </w:r>
      <w:r>
        <w:t xml:space="preserve">  Staff provides no specific rationale justifying the need for this multiplication of the rates utilized to charge this class.  The new primary voltage GS rate Staff proposes, for example, addresses an annual revenue requirement of only $11,821.</w:t>
      </w:r>
      <w:r>
        <w:rPr>
          <w:rStyle w:val="FootnoteReference"/>
        </w:rPr>
        <w:footnoteReference w:id="526"/>
      </w:r>
      <w:r>
        <w:t xml:space="preserve">  Staff does not address any rate design factors bearing on the merit of its proposal save for its emphasis on cost-based rates.  The PFD’s conclusion to preserve the status quo GS rate design is reasonable and should be adopted.</w:t>
      </w:r>
    </w:p>
    <w:p w14:paraId="7067AADC" w14:textId="77777777" w:rsidR="004B6A12" w:rsidRPr="002903EB" w:rsidRDefault="004B6A12" w:rsidP="00B670ED">
      <w:pPr>
        <w:pStyle w:val="Heading3"/>
        <w:spacing w:after="120"/>
      </w:pPr>
      <w:r>
        <w:t xml:space="preserve"> </w:t>
      </w:r>
      <w:bookmarkStart w:id="69" w:name="_Toc497123860"/>
      <w:r>
        <w:t>Electric Furnace, US Steel, and Cotton Gin Light and Power Rates</w:t>
      </w:r>
      <w:bookmarkEnd w:id="69"/>
    </w:p>
    <w:p w14:paraId="5412B70D" w14:textId="77777777" w:rsidR="004B6A12" w:rsidRDefault="004B6A12" w:rsidP="004B6A12">
      <w:r>
        <w:t>SWEPCO agrees with Staff’s comment that the increase to the rates for these schedules should be based on the increase to the rate schedules where the eligible customers took service during the test year.</w:t>
      </w:r>
      <w:r>
        <w:rPr>
          <w:rStyle w:val="FootnoteReference"/>
        </w:rPr>
        <w:footnoteReference w:id="527"/>
      </w:r>
      <w:r w:rsidRPr="002903EB">
        <w:t xml:space="preserve">  </w:t>
      </w:r>
    </w:p>
    <w:p w14:paraId="6D055499" w14:textId="77777777" w:rsidR="004B6A12" w:rsidRDefault="004B6A12" w:rsidP="00B670ED">
      <w:pPr>
        <w:pStyle w:val="Heading3"/>
        <w:spacing w:after="120"/>
      </w:pPr>
      <w:r>
        <w:t xml:space="preserve"> </w:t>
      </w:r>
      <w:bookmarkStart w:id="70" w:name="_Toc497123861"/>
      <w:r>
        <w:t>Winter Declining Block Rates</w:t>
      </w:r>
      <w:bookmarkEnd w:id="70"/>
    </w:p>
    <w:p w14:paraId="008B5A7C" w14:textId="77777777" w:rsidR="004B6A12" w:rsidRDefault="004B6A12" w:rsidP="004B6A12">
      <w:r>
        <w:t xml:space="preserve">Staff continues to oppose OPUC’s recommendation to reduce the differential between the declining winter block rates for residential customers.  SWEPCO would simply note that its agreement (in </w:t>
      </w:r>
      <w:r w:rsidR="00FF2D37">
        <w:t xml:space="preserve">Mr. </w:t>
      </w:r>
      <w:r>
        <w:t>Aaron</w:t>
      </w:r>
      <w:r w:rsidR="00FF2D37">
        <w:t>’s</w:t>
      </w:r>
      <w:r>
        <w:t xml:space="preserve"> rebuttal</w:t>
      </w:r>
      <w:r w:rsidR="00FF2D37">
        <w:t xml:space="preserve"> testimony</w:t>
      </w:r>
      <w:r>
        <w:rPr>
          <w:rStyle w:val="FootnoteReference"/>
        </w:rPr>
        <w:footnoteReference w:id="528"/>
      </w:r>
      <w:r>
        <w:t>) with OPUC’s proposal to reduce the rate differential between the blocks is consistent with the Commission’s findings regarding the merits of the declining block rates in the Company’s last rate case, Docket No. 40443.</w:t>
      </w:r>
      <w:r>
        <w:rPr>
          <w:rStyle w:val="FootnoteReference"/>
        </w:rPr>
        <w:footnoteReference w:id="529"/>
      </w:r>
    </w:p>
    <w:p w14:paraId="7D1B05E9" w14:textId="77777777" w:rsidR="00B61F67" w:rsidRDefault="00B61F67" w:rsidP="00B61F67">
      <w:pPr>
        <w:pStyle w:val="Heading1"/>
        <w:ind w:left="0" w:firstLine="0"/>
      </w:pPr>
      <w:bookmarkStart w:id="71" w:name="_Toc497123862"/>
      <w:r>
        <w:t>TCRF and DCRF Issues</w:t>
      </w:r>
      <w:bookmarkEnd w:id="71"/>
    </w:p>
    <w:p w14:paraId="10BEA4B3" w14:textId="77777777" w:rsidR="00B61F67" w:rsidRDefault="00B61F67" w:rsidP="003A17DF">
      <w:pPr>
        <w:pStyle w:val="Heading2"/>
        <w:numPr>
          <w:ilvl w:val="0"/>
          <w:numId w:val="52"/>
        </w:numPr>
        <w:ind w:hanging="720"/>
      </w:pPr>
      <w:bookmarkStart w:id="72" w:name="_Toc497123863"/>
      <w:r>
        <w:t>Refund of Over-Recovered Amounts of TCRF Revenues</w:t>
      </w:r>
      <w:bookmarkEnd w:id="72"/>
    </w:p>
    <w:p w14:paraId="7CC11900" w14:textId="77777777" w:rsidR="00B61F67" w:rsidRDefault="00FF2D37" w:rsidP="00B61F67">
      <w:r>
        <w:t>Under</w:t>
      </w:r>
      <w:r w:rsidR="00B61F67" w:rsidRPr="00D70C05">
        <w:t xml:space="preserve"> the terms of the </w:t>
      </w:r>
      <w:r w:rsidR="00B61F67">
        <w:t xml:space="preserve">Commission’s Transmission Cost Recovery Factor (TCRF) </w:t>
      </w:r>
      <w:r w:rsidR="00B61F67" w:rsidRPr="00D70C05">
        <w:t xml:space="preserve">rule, </w:t>
      </w:r>
      <w:r w:rsidR="00B61F67" w:rsidRPr="00D70C05">
        <w:lastRenderedPageBreak/>
        <w:t>the Commission may order the refund of a “previous over-recovery”</w:t>
      </w:r>
      <w:r w:rsidR="00B61F67">
        <w:t xml:space="preserve"> of TCRF costs.</w:t>
      </w:r>
      <w:r w:rsidR="00B61F67">
        <w:rPr>
          <w:rStyle w:val="FootnoteReference"/>
        </w:rPr>
        <w:footnoteReference w:id="530"/>
      </w:r>
      <w:r w:rsidR="00B61F67">
        <w:t xml:space="preserve">  </w:t>
      </w:r>
      <w:r w:rsidR="00B61F67" w:rsidRPr="00D70C05">
        <w:t>Exhibit RWH-7 to SWEPCO witness Mr. Hamlett’s direct testimony demonstrates that, in fact, SWEPCO has under-collected its TCRF by $772,659.</w:t>
      </w:r>
      <w:r w:rsidR="00B61F67" w:rsidRPr="00D70C05">
        <w:rPr>
          <w:vertAlign w:val="superscript"/>
        </w:rPr>
        <w:footnoteReference w:id="531"/>
      </w:r>
      <w:r w:rsidR="00B61F67" w:rsidRPr="00D70C05">
        <w:t xml:space="preserve">  This fact is uncontested.  Therefore, at this time, there is no “previous over-recovery” that could be refunded to customers.</w:t>
      </w:r>
      <w:r w:rsidR="00B61F67">
        <w:t xml:space="preserve">  Nonetheless, the PFD recommends a refund in this proceeding.  In the interest of limiting its exceptions, SWEPCO did not brief this issue in its exceptions.</w:t>
      </w:r>
    </w:p>
    <w:p w14:paraId="16E91B20" w14:textId="77777777" w:rsidR="00B61F67" w:rsidRPr="00D70C05" w:rsidRDefault="00B61F67" w:rsidP="00B61F67">
      <w:r>
        <w:t>To the extent that the Commission orders a refund in this proceeding, Staff recommends that the refund be netted on a class-by-class basis against the rate case expense surcharge (rider RCE) approved in this proceeding.</w:t>
      </w:r>
      <w:r>
        <w:rPr>
          <w:rStyle w:val="FootnoteReference"/>
        </w:rPr>
        <w:footnoteReference w:id="532"/>
      </w:r>
      <w:r>
        <w:t xml:space="preserve">  SWEPCO does not oppose Staff’s proposal.</w:t>
      </w:r>
    </w:p>
    <w:p w14:paraId="07C25359" w14:textId="77777777" w:rsidR="00737F56" w:rsidRDefault="00D51ECB" w:rsidP="003A17DF">
      <w:pPr>
        <w:pStyle w:val="Heading1"/>
        <w:keepNext w:val="0"/>
        <w:numPr>
          <w:ilvl w:val="0"/>
          <w:numId w:val="51"/>
        </w:numPr>
        <w:ind w:left="0" w:firstLine="0"/>
      </w:pPr>
      <w:bookmarkStart w:id="73" w:name="_Toc497123864"/>
      <w:r>
        <w:t>OTHER ISSUES</w:t>
      </w:r>
      <w:bookmarkEnd w:id="73"/>
      <w:r>
        <w:t xml:space="preserve"> </w:t>
      </w:r>
    </w:p>
    <w:p w14:paraId="45044410" w14:textId="77777777" w:rsidR="001175ED" w:rsidRPr="001175ED" w:rsidRDefault="001175ED" w:rsidP="001175ED">
      <w:pPr>
        <w:ind w:left="720" w:firstLine="0"/>
        <w:rPr>
          <w:b/>
          <w:bCs/>
          <w:i/>
        </w:rPr>
      </w:pPr>
      <w:bookmarkStart w:id="74" w:name="_Toc488315484"/>
      <w:r w:rsidRPr="001175ED">
        <w:rPr>
          <w:b/>
          <w:bCs/>
          <w:i/>
        </w:rPr>
        <w:t>Economic Dispatch of SWEPCO Units</w:t>
      </w:r>
      <w:bookmarkEnd w:id="74"/>
    </w:p>
    <w:p w14:paraId="4FB405A2" w14:textId="77777777" w:rsidR="003A17DF" w:rsidRPr="00B76B1C" w:rsidRDefault="003A17DF" w:rsidP="003A17DF">
      <w:r w:rsidRPr="00B76B1C">
        <w:t>The business of the AEPSC Commercial Operations Group is to coordinate the dispatch of AEP’s generation fleet, including that of SWEPCO, to economically supply customers’ native load requirements in the least-cost manner and to produce off-system sales margins to help lower customer rates.</w:t>
      </w:r>
      <w:r w:rsidRPr="00B76B1C">
        <w:rPr>
          <w:vertAlign w:val="superscript"/>
        </w:rPr>
        <w:footnoteReference w:id="533"/>
      </w:r>
      <w:r w:rsidRPr="00B76B1C">
        <w:t xml:space="preserve">  Within the Commercial Operations Group, the Market Operations department works closely with SPP to optimize SWEPCO’s resource and load requirements portfolio across a range of time frames.</w:t>
      </w:r>
      <w:r w:rsidRPr="00B76B1C">
        <w:rPr>
          <w:vertAlign w:val="superscript"/>
        </w:rPr>
        <w:footnoteReference w:id="534"/>
      </w:r>
      <w:r w:rsidRPr="00B76B1C">
        <w:t xml:space="preserve">  The Real Time Market Operations support group is responsible for the 24-hour generation dispatch function.  The Generation Dispatch personnel are responsible for the real-time economic dispatch of AEP’s SPP generation fleet, including SWEPCO’s generating units, to ensure that this fleet provides electric power and energy to native load customers at the lowest reasonable cost.  These employees manage available generation resources in response to system load, transmission needs, and market requirements.  Generation Dispatch personnel are also responsible for communicating resource schedule changes to the applicable Regional Transmission Organizations (RTOs), such as SPP in SWEPCO’s case, acting on information </w:t>
      </w:r>
      <w:r w:rsidRPr="00B76B1C">
        <w:lastRenderedPageBreak/>
        <w:t>regarding the system received from the RTO, managing curtailments and outages, and coordinating the fuel supply to the SPP units.</w:t>
      </w:r>
      <w:r w:rsidRPr="00B76B1C">
        <w:rPr>
          <w:vertAlign w:val="superscript"/>
        </w:rPr>
        <w:footnoteReference w:id="535"/>
      </w:r>
    </w:p>
    <w:p w14:paraId="4849004D" w14:textId="77777777" w:rsidR="003A17DF" w:rsidRPr="00B76B1C" w:rsidRDefault="003A17DF" w:rsidP="003A17DF">
      <w:r w:rsidRPr="00B76B1C">
        <w:t>Since the launch of the SPP</w:t>
      </w:r>
      <w:r w:rsidR="004F0331" w:rsidRPr="004F0331">
        <w:t xml:space="preserve"> </w:t>
      </w:r>
      <w:r w:rsidR="004F0331">
        <w:t>Integrated Marketplace (</w:t>
      </w:r>
      <w:r w:rsidRPr="00B76B1C">
        <w:t>IM</w:t>
      </w:r>
      <w:r w:rsidR="00653E50">
        <w:t>)</w:t>
      </w:r>
      <w:r w:rsidRPr="00B76B1C">
        <w:t xml:space="preserve"> on March 1, 2014, the Day-Ahead Operations group within Commercial Operations has existed to manage the new complexities and responsibilities resulting from the launch of SPP’s day two market.  Day-Ahead Operations personal have the primary responsibility (for periods beyond the immediate operating day) for the coordination and to be the primary interface between AEP’s generation fleet and the wholesale energy</w:t>
      </w:r>
      <w:r w:rsidR="00653E50">
        <w:t xml:space="preserve"> </w:t>
      </w:r>
      <w:r w:rsidRPr="00B76B1C">
        <w:t>RTO markets.  The wide range of activities engaged in by this group includes the development of generation and load requirement forecasts, the provision of accurate and timely weather forecasts and the process of daily submission of bids into the SPP IM.  These employees are also responsible for safely and reliably optimizing the generation fleet by assessing unit status and capability, economically scheduling curtailments and outages, and providing technical analysis regarding unit commitment decisions to various groups within Commercial Operations.</w:t>
      </w:r>
      <w:r w:rsidRPr="00B76B1C">
        <w:rPr>
          <w:vertAlign w:val="superscript"/>
        </w:rPr>
        <w:footnoteReference w:id="536"/>
      </w:r>
    </w:p>
    <w:p w14:paraId="339D6BC1" w14:textId="77777777" w:rsidR="003A17DF" w:rsidRPr="00B76B1C" w:rsidRDefault="003A17DF" w:rsidP="003A17DF">
      <w:r w:rsidRPr="00B76B1C">
        <w:t xml:space="preserve">All of these facts are uncontested and demonstrate that the complexities of generation unit dispatch in the SPP IM are substantial, as are the resources and experience brought to the task by the AEPSC Commercial Operations Group.  The Sierra Club – an organization with no expertise </w:t>
      </w:r>
      <w:r>
        <w:t xml:space="preserve">in </w:t>
      </w:r>
      <w:r w:rsidRPr="00B76B1C">
        <w:t xml:space="preserve">or experience with dispatching generation resources into a competitive market – theorizes that SWEPCO has been operating its power plants in an uneconomic manner.  On the basis of the uninformed and inaccurate analysis performed by its witness Ms. Wilson, who has no experience in dispatching a generation fleet into a competitive market, the Sierra Club makes the fantastic claim that SWEPCO, and more broadly the AEPSC Commercial Operations Group, whose job it is to manage this dispatch, </w:t>
      </w:r>
      <w:r>
        <w:t>may have “no</w:t>
      </w:r>
      <w:r w:rsidR="00653E50">
        <w:t>t</w:t>
      </w:r>
      <w:r>
        <w:t xml:space="preserve"> yet come to appreciate” SPP</w:t>
      </w:r>
      <w:r w:rsidR="00653E50">
        <w:t>’s</w:t>
      </w:r>
      <w:r>
        <w:t xml:space="preserve"> “market dynamic.”</w:t>
      </w:r>
      <w:r w:rsidRPr="00B76B1C">
        <w:rPr>
          <w:vertAlign w:val="superscript"/>
        </w:rPr>
        <w:footnoteReference w:id="537"/>
      </w:r>
      <w:r w:rsidRPr="00B76B1C">
        <w:t xml:space="preserve">  The Sierra Club is simply not credible on this point.</w:t>
      </w:r>
    </w:p>
    <w:p w14:paraId="393BA687" w14:textId="77777777" w:rsidR="003A17DF" w:rsidRPr="000601C3" w:rsidRDefault="003A17DF" w:rsidP="003A17DF">
      <w:r w:rsidRPr="000601C3">
        <w:t xml:space="preserve">There is no credible argument that generation dispatch should be based on anything but the incremental cost of dispatching that generation.  If the cost of dispatching a generator is $1 </w:t>
      </w:r>
      <w:r w:rsidRPr="000601C3">
        <w:lastRenderedPageBreak/>
        <w:t>for the next increment of generation and the expected revenues created by that next increment of generation are greater than $1, the generation will be dispatched.  As described by SWEPCO witness Mr. Hakimi, SWEPCO generation is bid into the SPP IM based on “offer curves” that represent the incremental cost of dispatching generation at any given point of dispatch.  Mr. Hakimi explains, “offer curves quantify the cost in dollars to generate the next MWh for an online generating unit at a given operating point.”</w:t>
      </w:r>
      <w:r w:rsidRPr="000601C3">
        <w:rPr>
          <w:vertAlign w:val="superscript"/>
        </w:rPr>
        <w:footnoteReference w:id="538"/>
      </w:r>
      <w:r w:rsidRPr="000601C3">
        <w:t xml:space="preserve">  Not only does SWEPCO bid its generation into the SPP IM based on the incremental cost of providing energy, it is required to do so by Section G.2.5 of the Market Protocols for the SPP IM.  The evidence establishes that SWEPCO has correctly bid its coal units into the SPP IM based on the incremental costs of the units and has realized revenues in excess of the associated incremental costs from the SPP IM.  Specifically, for SWEPCO’s solid fuel units over the 2015-2016 period, SWEPCO received net energy revenues above the incremental generation cost of $278 million.</w:t>
      </w:r>
      <w:r w:rsidRPr="000601C3">
        <w:rPr>
          <w:vertAlign w:val="superscript"/>
        </w:rPr>
        <w:footnoteReference w:id="539"/>
      </w:r>
      <w:r w:rsidRPr="000601C3">
        <w:t xml:space="preserve">  The total net revenues for sales including ancillary services and congestion related revenues were $295.2 million in excess of the incremental costs for the solid fuels units for the 2015-2016 period.</w:t>
      </w:r>
      <w:r w:rsidRPr="000601C3">
        <w:rPr>
          <w:vertAlign w:val="superscript"/>
        </w:rPr>
        <w:footnoteReference w:id="540"/>
      </w:r>
      <w:r w:rsidRPr="000601C3">
        <w:t xml:space="preserve">  The inquiry into whether SWEPCO properly dispatches its generation units into the SPP IM should have concluded there.</w:t>
      </w:r>
    </w:p>
    <w:p w14:paraId="40705399" w14:textId="77777777" w:rsidR="003A17DF" w:rsidRPr="0084792C" w:rsidRDefault="003A17DF" w:rsidP="003A17DF">
      <w:r w:rsidRPr="0084792C">
        <w:t xml:space="preserve">Undaunted by these facts, Sierra Club </w:t>
      </w:r>
      <w:r>
        <w:t xml:space="preserve">continues </w:t>
      </w:r>
      <w:r w:rsidR="004A7EA8">
        <w:t xml:space="preserve">to </w:t>
      </w:r>
      <w:r>
        <w:t xml:space="preserve">repeat </w:t>
      </w:r>
      <w:r w:rsidRPr="0084792C">
        <w:t xml:space="preserve">many of the uninformed and inaccurate statements contained in its witness’ testimony.  As an initial matter, </w:t>
      </w:r>
      <w:r>
        <w:t xml:space="preserve">the generalities repeated throughout Sierra Club’s exception obscure </w:t>
      </w:r>
      <w:r w:rsidRPr="0084792C">
        <w:t xml:space="preserve">what Ms. Wilson’s calculations allegedly show.  A close examination of Ms. Wilson’s workpapers shows that, even using her flawed calculations, Ms. Wilson calculates that SWEPCO’s solid fuel units had </w:t>
      </w:r>
      <w:r w:rsidRPr="0084792C">
        <w:rPr>
          <w:b/>
          <w:i/>
        </w:rPr>
        <w:t>net operating revenues that exceeded total variable production costs by $151.28 million over the years 2015 and 2016</w:t>
      </w:r>
      <w:r w:rsidRPr="0084792C">
        <w:t xml:space="preserve">.  The $26 million (later changed to $20.5 million) of </w:t>
      </w:r>
      <w:r>
        <w:t>“</w:t>
      </w:r>
      <w:r w:rsidRPr="0084792C">
        <w:t>losses</w:t>
      </w:r>
      <w:r>
        <w:t>,</w:t>
      </w:r>
      <w:r w:rsidRPr="0084792C">
        <w:t xml:space="preserve">” </w:t>
      </w:r>
      <w:r>
        <w:t xml:space="preserve">frequently repeated throughout the exceptions, </w:t>
      </w:r>
      <w:r w:rsidRPr="0084792C">
        <w:t xml:space="preserve">is calculated by disregarding the positive net revenues for each unit in any month and simply adding up the alleged net losses for any unit in any month.  Therefore, any claim of “losses” in 2015 and 2016 is </w:t>
      </w:r>
      <w:r>
        <w:t xml:space="preserve">simply not true, no matter how often repeated.  Instead, </w:t>
      </w:r>
      <w:r w:rsidRPr="0084792C">
        <w:t xml:space="preserve">Ms. </w:t>
      </w:r>
      <w:r w:rsidRPr="0084792C">
        <w:lastRenderedPageBreak/>
        <w:t>Wilson’s own calculations show more than $151 million of net revenues for the two year period.</w:t>
      </w:r>
    </w:p>
    <w:p w14:paraId="3043E428" w14:textId="77777777" w:rsidR="003A17DF" w:rsidRDefault="003A17DF" w:rsidP="003A17DF">
      <w:r w:rsidRPr="00BC6205">
        <w:t>Further, the calculations made by Sierra Club witness Ms. Wilson are not made using SWEPCO’s incremental cost to generate electricity.  Her calculations fail to recognize all revenues received as a result of SPP IM participation.  And, Ms. Wilson ignores operational constraints on the units themselves.  All of these facts were established in the rebuttal testimony of Mr. Hakimi</w:t>
      </w:r>
      <w:r>
        <w:t xml:space="preserve"> and discussed separately below</w:t>
      </w:r>
      <w:r w:rsidRPr="00BC6205">
        <w:t xml:space="preserve">.  Nonetheless, Sierra Club claims in its </w:t>
      </w:r>
      <w:r>
        <w:t xml:space="preserve">exceptions </w:t>
      </w:r>
      <w:r w:rsidRPr="00BC6205">
        <w:t xml:space="preserve">at several points that SWEPCO does not </w:t>
      </w:r>
      <w:r>
        <w:t>“quarrel with the facts” and “did not challenge that [sic] above calculations and conclusions on their own terms.”</w:t>
      </w:r>
      <w:r w:rsidRPr="00BC6205">
        <w:rPr>
          <w:vertAlign w:val="superscript"/>
        </w:rPr>
        <w:footnoteReference w:id="541"/>
      </w:r>
      <w:r w:rsidRPr="00BC6205">
        <w:t xml:space="preserve">  </w:t>
      </w:r>
      <w:r>
        <w:t xml:space="preserve">At this point in this proceeding, </w:t>
      </w:r>
      <w:r w:rsidRPr="00BC6205">
        <w:t xml:space="preserve">Sierra Club </w:t>
      </w:r>
      <w:r w:rsidR="006D0393">
        <w:t>should</w:t>
      </w:r>
      <w:r>
        <w:t xml:space="preserve"> understand these statements are not true</w:t>
      </w:r>
      <w:r w:rsidRPr="00BC6205">
        <w:t>.</w:t>
      </w:r>
    </w:p>
    <w:p w14:paraId="3794A8A0" w14:textId="77777777" w:rsidR="003A17DF" w:rsidRPr="009546E9" w:rsidRDefault="003A17DF" w:rsidP="003A17DF">
      <w:pPr>
        <w:ind w:left="720" w:firstLine="0"/>
        <w:contextualSpacing/>
      </w:pPr>
      <w:r w:rsidRPr="003A17DF">
        <w:rPr>
          <w:b/>
          <w:i/>
        </w:rPr>
        <w:t>The Sierra Club calculation does not use SWEPCO’s actual variable O&amp;M costs</w:t>
      </w:r>
    </w:p>
    <w:p w14:paraId="5D15D0A6" w14:textId="77777777" w:rsidR="003A17DF" w:rsidRPr="009546E9" w:rsidRDefault="003A17DF" w:rsidP="003A17DF">
      <w:r>
        <w:t>T</w:t>
      </w:r>
      <w:r w:rsidRPr="009546E9">
        <w:t xml:space="preserve">he Sierra Club estimated SWEPCO’s Variable O&amp;M (VOM) associated with operating certain kinds of pollution control equipment based on an EPA study </w:t>
      </w:r>
      <w:r>
        <w:t xml:space="preserve">Ms. Wilson </w:t>
      </w:r>
      <w:r w:rsidRPr="009546E9">
        <w:t xml:space="preserve">provides as Exhibit RSW-5.  However, these estimates of environmental equipment VOM are represented as an estimate of the cost for a “typical” size plant throughout the U.S – an assumption that most likely could vary significantly from the actual experience of any one individual facility.  Even more importantly, there is a mismatch in the type of costs Ms. Wilson </w:t>
      </w:r>
      <w:r w:rsidR="004A7EA8">
        <w:t xml:space="preserve">is </w:t>
      </w:r>
      <w:r w:rsidRPr="009546E9">
        <w:t>comparing.  The cost she uses from SWEPCO’s variable offer curve is the cost of SO</w:t>
      </w:r>
      <w:r w:rsidRPr="009546E9">
        <w:rPr>
          <w:vertAlign w:val="subscript"/>
        </w:rPr>
        <w:t>2</w:t>
      </w:r>
      <w:r w:rsidRPr="009546E9">
        <w:t xml:space="preserve"> and NOx emission credits.  The costs taken from the EPA study represent an average estimate of the Variable Operations and Maintenance cost of the environmental equipment, not the cost of emission compliance allowances.  And finally, Ms. Wilson fails to consider the fact that the cost of variable O&amp;M related to the environmental equipment is already included in the total Variable O&amp;M used in SWEPCO’s bid development for the SPP IM.</w:t>
      </w:r>
      <w:r w:rsidRPr="009546E9">
        <w:rPr>
          <w:vertAlign w:val="superscript"/>
        </w:rPr>
        <w:footnoteReference w:id="542"/>
      </w:r>
    </w:p>
    <w:p w14:paraId="28F257EF" w14:textId="77777777" w:rsidR="003A17DF" w:rsidRDefault="003A17DF" w:rsidP="003A17DF">
      <w:pPr>
        <w:spacing w:line="240" w:lineRule="auto"/>
        <w:ind w:left="720" w:firstLine="0"/>
        <w:contextualSpacing/>
      </w:pPr>
      <w:r w:rsidRPr="003A17DF">
        <w:rPr>
          <w:b/>
          <w:i/>
        </w:rPr>
        <w:t>The use of an average monthly production cost calculation in any form is not appropriate in the review of generation dispatch</w:t>
      </w:r>
      <w:r w:rsidRPr="00240C4A">
        <w:t>.</w:t>
      </w:r>
    </w:p>
    <w:p w14:paraId="74242750" w14:textId="77777777" w:rsidR="003A17DF" w:rsidRDefault="003A17DF" w:rsidP="003A17DF">
      <w:pPr>
        <w:spacing w:line="240" w:lineRule="auto"/>
        <w:ind w:left="720" w:firstLine="0"/>
        <w:contextualSpacing/>
      </w:pPr>
    </w:p>
    <w:p w14:paraId="2A0530CF" w14:textId="77777777" w:rsidR="003A17DF" w:rsidRPr="009546E9" w:rsidRDefault="003A17DF" w:rsidP="003A17DF">
      <w:r w:rsidRPr="009546E9">
        <w:t xml:space="preserve">The offer curves of SWEPCO’s solid fuel units represent the incremental generation costs after a unit has been committed online.  Such incremental generation costs are not equivalent to the total unit production cost.  Instead, the offer curve is the marginal cost for generating the next </w:t>
      </w:r>
      <w:r w:rsidRPr="009546E9">
        <w:lastRenderedPageBreak/>
        <w:t>MWh after a unit has been committed online.</w:t>
      </w:r>
      <w:r w:rsidRPr="009546E9">
        <w:rPr>
          <w:vertAlign w:val="superscript"/>
        </w:rPr>
        <w:footnoteReference w:id="543"/>
      </w:r>
      <w:r w:rsidRPr="009546E9">
        <w:t xml:space="preserve">  As noted above, SWEPCO does and must under Market Protocols offer its generation into the SPP IM based on incremental cost.  In contrast, Sierra Club assumes that a unit was being dispatched uneconomically every time the market price was lower than its alleged average monthly production price.</w:t>
      </w:r>
      <w:r w:rsidRPr="009546E9">
        <w:rPr>
          <w:vertAlign w:val="superscript"/>
        </w:rPr>
        <w:footnoteReference w:id="544"/>
      </w:r>
      <w:r w:rsidRPr="009546E9">
        <w:t xml:space="preserve">  Needless to say, such an inaccurate view of unit dispatch</w:t>
      </w:r>
      <w:r w:rsidR="00CF52DA">
        <w:t xml:space="preserve"> is baseless and</w:t>
      </w:r>
      <w:r w:rsidRPr="009546E9">
        <w:t xml:space="preserve"> will yield unreliable results.</w:t>
      </w:r>
    </w:p>
    <w:p w14:paraId="242E3BB5" w14:textId="77777777" w:rsidR="003A17DF" w:rsidRDefault="003A17DF" w:rsidP="003A17DF">
      <w:pPr>
        <w:spacing w:line="240" w:lineRule="auto"/>
        <w:ind w:left="720" w:firstLine="0"/>
        <w:contextualSpacing/>
      </w:pPr>
      <w:r w:rsidRPr="003A17DF">
        <w:rPr>
          <w:b/>
          <w:i/>
        </w:rPr>
        <w:t>The use of average costs to assess dispatch decisions that were made on the basis of incremental cost leads to incorrect conclusions</w:t>
      </w:r>
      <w:r w:rsidRPr="00240C4A">
        <w:t>.</w:t>
      </w:r>
    </w:p>
    <w:p w14:paraId="1CB565AC" w14:textId="77777777" w:rsidR="003A17DF" w:rsidRDefault="003A17DF" w:rsidP="003A17DF">
      <w:pPr>
        <w:spacing w:line="240" w:lineRule="auto"/>
        <w:ind w:left="720" w:firstLine="0"/>
        <w:contextualSpacing/>
      </w:pPr>
    </w:p>
    <w:p w14:paraId="760A45EE" w14:textId="77777777" w:rsidR="003A17DF" w:rsidRPr="009546E9" w:rsidRDefault="003A17DF" w:rsidP="003A17DF">
      <w:r w:rsidRPr="009546E9">
        <w:t>If Sierra Club’s calculation were used in the dispatch of SWEPCO’s generation units, SWEPCO would reduce the output of the solid fuel units uneconomically and this would be detrimental to SWEPCO’s customers.  For example, if the market price is at $25/MWh and a solid fuel unit’s incremental cost curve at its midpoint operating range is $25/MWh and</w:t>
      </w:r>
      <w:r>
        <w:t>,</w:t>
      </w:r>
      <w:r w:rsidRPr="009546E9">
        <w:t xml:space="preserve"> for example, it is artificially raised to $30/MWh, as recommended by Ms. Wilson, the unit would reduce its output to its low operating point and not sell the corresponding energy in the SPP IM.  As a result, it would forgo the revenue above its incremental cost for the amount not generated.</w:t>
      </w:r>
      <w:r w:rsidRPr="009546E9">
        <w:rPr>
          <w:vertAlign w:val="superscript"/>
        </w:rPr>
        <w:footnoteReference w:id="545"/>
      </w:r>
    </w:p>
    <w:p w14:paraId="0329C27C" w14:textId="77777777" w:rsidR="003A17DF" w:rsidRDefault="003A17DF" w:rsidP="003A17DF">
      <w:pPr>
        <w:spacing w:line="240" w:lineRule="auto"/>
        <w:ind w:left="720" w:firstLine="0"/>
        <w:contextualSpacing/>
        <w:rPr>
          <w:b/>
          <w:i/>
        </w:rPr>
      </w:pPr>
      <w:r w:rsidRPr="003A17DF">
        <w:rPr>
          <w:b/>
          <w:i/>
        </w:rPr>
        <w:t>Sierra Club’s calculation does not include all revenues generated from SWEPC</w:t>
      </w:r>
      <w:r>
        <w:rPr>
          <w:b/>
          <w:i/>
        </w:rPr>
        <w:t>O’s participation in the SPP IM.</w:t>
      </w:r>
    </w:p>
    <w:p w14:paraId="7416CEA8" w14:textId="77777777" w:rsidR="003A17DF" w:rsidRDefault="003A17DF" w:rsidP="003A17DF">
      <w:pPr>
        <w:spacing w:line="240" w:lineRule="auto"/>
        <w:ind w:left="720" w:firstLine="0"/>
        <w:contextualSpacing/>
        <w:rPr>
          <w:b/>
          <w:i/>
        </w:rPr>
      </w:pPr>
    </w:p>
    <w:p w14:paraId="2A030B68" w14:textId="77777777" w:rsidR="003A17DF" w:rsidRPr="009546E9" w:rsidRDefault="003A17DF" w:rsidP="003A17DF">
      <w:r w:rsidRPr="009546E9">
        <w:t xml:space="preserve">Sierra Club’s calculation does not take into consideration revenues from sale of ancillary services by the units, as well as congestion related revenues from the SPP IM.  Ancillary services revenues are realized from the sale of these services in the relevant SPP IM market.  These services include Spinning Reserves, Supplemental Reserves, Regulation Up, and Regulation Down.  The sale of ancillary services is conducted in the same SPP Day-Ahead and Real-Time markets through which energy is sold.  The exclusion of the revenues earned from the sale of ancillary services by the units, as well as congestion related revenues from the SPP IM, understate the total revenues earned by SWEPCO’s solid fuel units.  These revenues for the two </w:t>
      </w:r>
      <w:r w:rsidRPr="009546E9">
        <w:lastRenderedPageBreak/>
        <w:t>years are $17 million for the solid fuel units</w:t>
      </w:r>
      <w:r>
        <w:t>.</w:t>
      </w:r>
      <w:r w:rsidRPr="009546E9">
        <w:rPr>
          <w:vertAlign w:val="superscript"/>
        </w:rPr>
        <w:footnoteReference w:id="546"/>
      </w:r>
    </w:p>
    <w:p w14:paraId="51D94F4D" w14:textId="77777777" w:rsidR="003A17DF" w:rsidRDefault="003A17DF" w:rsidP="003A17DF">
      <w:pPr>
        <w:spacing w:line="240" w:lineRule="auto"/>
        <w:ind w:left="720" w:firstLine="0"/>
        <w:contextualSpacing/>
      </w:pPr>
      <w:r w:rsidRPr="003A17DF">
        <w:rPr>
          <w:b/>
          <w:i/>
        </w:rPr>
        <w:t>Sierra Club’s calculation ignores other relevant factors that affect unit commitment decisions.</w:t>
      </w:r>
    </w:p>
    <w:p w14:paraId="18C4117F" w14:textId="77777777" w:rsidR="003A17DF" w:rsidRDefault="003A17DF" w:rsidP="003A17DF">
      <w:pPr>
        <w:spacing w:line="240" w:lineRule="auto"/>
        <w:ind w:left="720" w:firstLine="0"/>
        <w:contextualSpacing/>
      </w:pPr>
    </w:p>
    <w:p w14:paraId="34DFE46B" w14:textId="77777777" w:rsidR="003A17DF" w:rsidRPr="009546E9" w:rsidRDefault="003A17DF" w:rsidP="003A17DF">
      <w:r w:rsidRPr="009546E9">
        <w:t>Because of the short time frame of the SPP IM Day Ahead Market, SWEPCO typically self-schedules the solid fuel units to avoid unnecessary cycling of the units and to avoid the related start-up costs.  In addition, fuel contract minimum burn requirements also affect the unit commitment decision.  On page 51 of her testimony Ms. Wilson concedes that there may be “reasons beyond the market dynamic” that influence how units are operated.</w:t>
      </w:r>
      <w:r w:rsidRPr="009546E9">
        <w:rPr>
          <w:vertAlign w:val="superscript"/>
        </w:rPr>
        <w:footnoteReference w:id="547"/>
      </w:r>
      <w:r w:rsidRPr="009546E9">
        <w:t xml:space="preserve">  By failing to quantify the costs associated with such constraints, her analysis is incomplete and conveys an incorrect representation of the results of SWEPCO’s bidding practices in the SPP IM.  SWEPCO has clearly shown that revenues of $295.2 million were realized from the SPP IM above the incremental costs of its solid fuel generating units and has thereby demonstrated that it properly used incremental costs to offer those resources in the market.  </w:t>
      </w:r>
    </w:p>
    <w:p w14:paraId="0C4AA7F4" w14:textId="77777777" w:rsidR="003A17DF" w:rsidRPr="00B76B1C" w:rsidRDefault="003A17DF" w:rsidP="003A17DF">
      <w:r w:rsidRPr="009546E9">
        <w:t>The evidence firmly establishes that SWEPCO offers its generation into the SPP IM on the basis of incremental cost, as it is required to do.  There is not any credible basis for Sierra Club’s allegation in this matter.  Furthermore, SWEPCO also notes that Sierra Club is really asking for a disallowance of incurred fuel and purchased power costs.  These costs are clearly elements of eligible fuel costs as defined in the Commission’s fuel rule – 16 TAC § 25.236(a).  The review of SWEPCO’s eligible fuel costs are clearly beyond the scope of this base rate proceeding.</w:t>
      </w:r>
    </w:p>
    <w:p w14:paraId="2719EF45" w14:textId="77777777" w:rsidR="00737F56" w:rsidRDefault="00737F56" w:rsidP="001E5D10">
      <w:pPr>
        <w:pStyle w:val="Heading1"/>
        <w:keepNext w:val="0"/>
      </w:pPr>
      <w:bookmarkStart w:id="75" w:name="_Toc497123865"/>
      <w:r>
        <w:t>CONCLUSION</w:t>
      </w:r>
      <w:bookmarkEnd w:id="75"/>
    </w:p>
    <w:p w14:paraId="28FCE350" w14:textId="77777777" w:rsidR="008C6DCD" w:rsidRDefault="00E80B7D" w:rsidP="008C6DCD">
      <w:r>
        <w:t>Wherefore, premised considered, SWEPCO respectfully requests that the exceptions of the other parties be overruled, and that the ALJs’ recommendations on these issues be adopted for the reasons set out herein.</w:t>
      </w:r>
    </w:p>
    <w:p w14:paraId="08A94537" w14:textId="77777777" w:rsidR="008C6DCD" w:rsidRDefault="008C6DCD" w:rsidP="008C6DCD"/>
    <w:p w14:paraId="60D0F797" w14:textId="77777777" w:rsidR="002F6DBF" w:rsidRDefault="002F6DBF" w:rsidP="008C6DCD">
      <w:pPr>
        <w:spacing w:line="240" w:lineRule="auto"/>
        <w:ind w:firstLine="4320"/>
        <w:sectPr w:rsidR="002F6DBF" w:rsidSect="00333E80">
          <w:headerReference w:type="default" r:id="rId16"/>
          <w:footerReference w:type="first" r:id="rId17"/>
          <w:pgSz w:w="12240" w:h="15840" w:code="1"/>
          <w:pgMar w:top="1440" w:right="1440" w:bottom="1440" w:left="1440" w:header="1008" w:footer="720" w:gutter="0"/>
          <w:pgNumType w:start="1"/>
          <w:cols w:space="720"/>
          <w:noEndnote/>
          <w:titlePg/>
          <w:docGrid w:linePitch="326"/>
        </w:sectPr>
      </w:pPr>
    </w:p>
    <w:p w14:paraId="4BB746ED" w14:textId="77777777" w:rsidR="008C6DCD" w:rsidRDefault="008C6DCD" w:rsidP="008C6DCD">
      <w:pPr>
        <w:spacing w:line="240" w:lineRule="auto"/>
        <w:ind w:firstLine="4320"/>
      </w:pPr>
      <w:r w:rsidRPr="008C6DCD">
        <w:lastRenderedPageBreak/>
        <w:t>Respectfully submitted,</w:t>
      </w:r>
    </w:p>
    <w:p w14:paraId="5128E197" w14:textId="77777777" w:rsidR="008C6DCD" w:rsidRPr="008C6DCD" w:rsidRDefault="008C6DCD" w:rsidP="008C6DCD">
      <w:pPr>
        <w:spacing w:line="240" w:lineRule="auto"/>
        <w:ind w:firstLine="4320"/>
      </w:pPr>
    </w:p>
    <w:p w14:paraId="2863427C" w14:textId="77777777" w:rsidR="008C6DCD" w:rsidRPr="008C6DCD" w:rsidRDefault="008C6DCD" w:rsidP="008C6DCD">
      <w:pPr>
        <w:spacing w:line="240" w:lineRule="auto"/>
        <w:ind w:firstLine="4320"/>
      </w:pPr>
      <w:r w:rsidRPr="008C6DCD">
        <w:t>Rhonda Colbert Ryan</w:t>
      </w:r>
    </w:p>
    <w:p w14:paraId="02FA66B8" w14:textId="77777777" w:rsidR="008C6DCD" w:rsidRPr="008C6DCD" w:rsidRDefault="008C6DCD" w:rsidP="008C6DCD">
      <w:pPr>
        <w:spacing w:line="240" w:lineRule="auto"/>
        <w:ind w:firstLine="4320"/>
      </w:pPr>
      <w:r w:rsidRPr="008C6DCD">
        <w:t>State Bar No. 17478800</w:t>
      </w:r>
    </w:p>
    <w:p w14:paraId="5B4341E3" w14:textId="77777777" w:rsidR="008C6DCD" w:rsidRPr="008C6DCD" w:rsidRDefault="008C6DCD" w:rsidP="008C6DCD">
      <w:pPr>
        <w:spacing w:line="240" w:lineRule="auto"/>
        <w:ind w:firstLine="4320"/>
      </w:pPr>
      <w:r w:rsidRPr="008C6DCD">
        <w:t>Jerry N. Huerta</w:t>
      </w:r>
    </w:p>
    <w:p w14:paraId="3E437F47" w14:textId="77777777" w:rsidR="008C6DCD" w:rsidRPr="008C6DCD" w:rsidRDefault="008C6DCD" w:rsidP="008C6DCD">
      <w:pPr>
        <w:spacing w:line="240" w:lineRule="auto"/>
        <w:ind w:firstLine="4320"/>
      </w:pPr>
      <w:r w:rsidRPr="008C6DCD">
        <w:t>State Bar No. 24004709</w:t>
      </w:r>
    </w:p>
    <w:p w14:paraId="3E76A128" w14:textId="77777777" w:rsidR="008C6DCD" w:rsidRPr="008C6DCD" w:rsidRDefault="008C6DCD" w:rsidP="008C6DCD">
      <w:pPr>
        <w:spacing w:line="240" w:lineRule="auto"/>
        <w:ind w:firstLine="4320"/>
        <w:rPr>
          <w:b/>
          <w:bCs/>
        </w:rPr>
      </w:pPr>
      <w:r w:rsidRPr="008C6DCD">
        <w:rPr>
          <w:b/>
          <w:bCs/>
        </w:rPr>
        <w:t>AMERICAN ELECTRIC POWER SERVICE</w:t>
      </w:r>
    </w:p>
    <w:p w14:paraId="6811579E" w14:textId="77777777" w:rsidR="008C6DCD" w:rsidRPr="008C6DCD" w:rsidRDefault="008C6DCD" w:rsidP="008C6DCD">
      <w:pPr>
        <w:spacing w:line="240" w:lineRule="auto"/>
        <w:ind w:firstLine="4320"/>
      </w:pPr>
      <w:r w:rsidRPr="008C6DCD">
        <w:rPr>
          <w:b/>
          <w:bCs/>
        </w:rPr>
        <w:t>CORPORATION</w:t>
      </w:r>
    </w:p>
    <w:p w14:paraId="7C5B2B4D" w14:textId="77777777" w:rsidR="008C6DCD" w:rsidRPr="008C6DCD" w:rsidRDefault="008C6DCD" w:rsidP="008C6DCD">
      <w:pPr>
        <w:spacing w:line="240" w:lineRule="auto"/>
        <w:ind w:firstLine="4320"/>
      </w:pPr>
    </w:p>
    <w:p w14:paraId="5099202F" w14:textId="77777777" w:rsidR="008C6DCD" w:rsidRPr="008C6DCD" w:rsidRDefault="008C6DCD" w:rsidP="008C6DCD">
      <w:pPr>
        <w:spacing w:line="240" w:lineRule="auto"/>
        <w:ind w:firstLine="4320"/>
      </w:pPr>
      <w:r w:rsidRPr="008C6DCD">
        <w:t>Frederick W. Addison, III</w:t>
      </w:r>
    </w:p>
    <w:p w14:paraId="1D74849E" w14:textId="77777777" w:rsidR="008C6DCD" w:rsidRPr="008C6DCD" w:rsidRDefault="008C6DCD" w:rsidP="008C6DCD">
      <w:pPr>
        <w:spacing w:line="240" w:lineRule="auto"/>
        <w:ind w:firstLine="4320"/>
      </w:pPr>
      <w:r w:rsidRPr="008C6DCD">
        <w:t>State Bar No. 00903350</w:t>
      </w:r>
    </w:p>
    <w:p w14:paraId="1A105733" w14:textId="77777777" w:rsidR="008C6DCD" w:rsidRPr="008C6DCD" w:rsidRDefault="008C6DCD" w:rsidP="008C6DCD">
      <w:pPr>
        <w:spacing w:line="240" w:lineRule="auto"/>
        <w:ind w:firstLine="4320"/>
        <w:rPr>
          <w:b/>
        </w:rPr>
      </w:pPr>
      <w:r w:rsidRPr="008C6DCD">
        <w:rPr>
          <w:b/>
        </w:rPr>
        <w:t>MUNSCH HARDT KOPF &amp; HARR, P.C.</w:t>
      </w:r>
    </w:p>
    <w:p w14:paraId="7FEE0309" w14:textId="77777777" w:rsidR="008C6DCD" w:rsidRPr="008C6DCD" w:rsidRDefault="008C6DCD" w:rsidP="008C6DCD">
      <w:pPr>
        <w:spacing w:line="240" w:lineRule="auto"/>
        <w:ind w:firstLine="4320"/>
      </w:pPr>
      <w:r w:rsidRPr="008C6DCD">
        <w:t>500 North Akard Street, Suite 3800</w:t>
      </w:r>
    </w:p>
    <w:p w14:paraId="68F7635B" w14:textId="77777777" w:rsidR="008C6DCD" w:rsidRPr="008C6DCD" w:rsidRDefault="008C6DCD" w:rsidP="008C6DCD">
      <w:pPr>
        <w:spacing w:line="240" w:lineRule="auto"/>
        <w:ind w:firstLine="4320"/>
      </w:pPr>
      <w:r w:rsidRPr="008C6DCD">
        <w:t>Dallas, Texas 75201-6659</w:t>
      </w:r>
    </w:p>
    <w:p w14:paraId="75AB9A42" w14:textId="77777777" w:rsidR="008C6DCD" w:rsidRPr="008C6DCD" w:rsidRDefault="008C6DCD" w:rsidP="008C6DCD">
      <w:pPr>
        <w:spacing w:line="240" w:lineRule="auto"/>
        <w:ind w:firstLine="4320"/>
      </w:pPr>
      <w:r w:rsidRPr="008C6DCD">
        <w:t>(214) 855-7500</w:t>
      </w:r>
    </w:p>
    <w:p w14:paraId="5349CE03" w14:textId="77777777" w:rsidR="008C6DCD" w:rsidRPr="008C6DCD" w:rsidRDefault="008C6DCD" w:rsidP="008C6DCD">
      <w:pPr>
        <w:spacing w:line="240" w:lineRule="auto"/>
        <w:ind w:firstLine="4320"/>
      </w:pPr>
      <w:r w:rsidRPr="008C6DCD">
        <w:t>(214) 855-7584</w:t>
      </w:r>
    </w:p>
    <w:p w14:paraId="5171227B" w14:textId="77777777" w:rsidR="008C6DCD" w:rsidRPr="008C6DCD" w:rsidRDefault="008C6DCD" w:rsidP="008C6DCD">
      <w:pPr>
        <w:spacing w:line="240" w:lineRule="auto"/>
        <w:ind w:firstLine="4320"/>
      </w:pPr>
    </w:p>
    <w:p w14:paraId="7C4496E8" w14:textId="77777777" w:rsidR="008C6DCD" w:rsidRPr="008C6DCD" w:rsidRDefault="008C6DCD" w:rsidP="008C6DCD">
      <w:pPr>
        <w:spacing w:line="240" w:lineRule="auto"/>
        <w:ind w:firstLine="4320"/>
      </w:pPr>
      <w:r w:rsidRPr="008C6DCD">
        <w:t>John F. Williams</w:t>
      </w:r>
    </w:p>
    <w:p w14:paraId="6E5E3465" w14:textId="77777777" w:rsidR="008C6DCD" w:rsidRPr="008C6DCD" w:rsidRDefault="008C6DCD" w:rsidP="008C6DCD">
      <w:pPr>
        <w:spacing w:line="240" w:lineRule="auto"/>
        <w:ind w:firstLine="4320"/>
      </w:pPr>
      <w:r w:rsidRPr="008C6DCD">
        <w:t>State Bar No. 21554100</w:t>
      </w:r>
    </w:p>
    <w:p w14:paraId="2F0CF91C" w14:textId="77777777" w:rsidR="008C6DCD" w:rsidRPr="008C6DCD" w:rsidRDefault="008C6DCD" w:rsidP="008C6DCD">
      <w:pPr>
        <w:spacing w:line="240" w:lineRule="auto"/>
        <w:ind w:firstLine="4320"/>
      </w:pPr>
      <w:r w:rsidRPr="008C6DCD">
        <w:t>William Coe</w:t>
      </w:r>
    </w:p>
    <w:p w14:paraId="1FBD68BD" w14:textId="77777777" w:rsidR="008C6DCD" w:rsidRPr="008C6DCD" w:rsidRDefault="008C6DCD" w:rsidP="008C6DCD">
      <w:pPr>
        <w:spacing w:line="240" w:lineRule="auto"/>
        <w:ind w:firstLine="4320"/>
      </w:pPr>
      <w:r w:rsidRPr="008C6DCD">
        <w:t>State Bar No. 00790477</w:t>
      </w:r>
    </w:p>
    <w:p w14:paraId="4067CBAA" w14:textId="77777777" w:rsidR="008C6DCD" w:rsidRPr="008C6DCD" w:rsidRDefault="008C6DCD" w:rsidP="008C6DCD">
      <w:pPr>
        <w:spacing w:line="240" w:lineRule="auto"/>
        <w:ind w:firstLine="4320"/>
        <w:rPr>
          <w:b/>
        </w:rPr>
      </w:pPr>
      <w:r w:rsidRPr="008C6DCD">
        <w:rPr>
          <w:b/>
        </w:rPr>
        <w:t>DUGGINS WREN MANN &amp; ROMERO, LLP</w:t>
      </w:r>
    </w:p>
    <w:p w14:paraId="68FD0AA7" w14:textId="77777777" w:rsidR="008C6DCD" w:rsidRPr="008C6DCD" w:rsidRDefault="008C6DCD" w:rsidP="008C6DCD">
      <w:pPr>
        <w:spacing w:line="240" w:lineRule="auto"/>
        <w:ind w:firstLine="4320"/>
      </w:pPr>
      <w:r w:rsidRPr="008C6DCD">
        <w:t>P.O. Box 1149</w:t>
      </w:r>
    </w:p>
    <w:p w14:paraId="4E8E96F6" w14:textId="77777777" w:rsidR="008C6DCD" w:rsidRPr="008C6DCD" w:rsidRDefault="008C6DCD" w:rsidP="008C6DCD">
      <w:pPr>
        <w:spacing w:line="240" w:lineRule="auto"/>
        <w:ind w:firstLine="4320"/>
      </w:pPr>
      <w:r w:rsidRPr="008C6DCD">
        <w:t>Austin, Texas 78767</w:t>
      </w:r>
    </w:p>
    <w:p w14:paraId="4F424398" w14:textId="77777777" w:rsidR="008C6DCD" w:rsidRPr="008C6DCD" w:rsidRDefault="008C6DCD" w:rsidP="008C6DCD">
      <w:pPr>
        <w:spacing w:line="240" w:lineRule="auto"/>
        <w:ind w:firstLine="4320"/>
      </w:pPr>
      <w:r w:rsidRPr="008C6DCD">
        <w:t>(512) 744-9300</w:t>
      </w:r>
    </w:p>
    <w:p w14:paraId="3C27EB19" w14:textId="77777777" w:rsidR="008C6DCD" w:rsidRPr="008C6DCD" w:rsidRDefault="008C6DCD" w:rsidP="008C6DCD">
      <w:pPr>
        <w:spacing w:line="240" w:lineRule="auto"/>
        <w:ind w:firstLine="4320"/>
      </w:pPr>
      <w:r w:rsidRPr="008C6DCD">
        <w:t xml:space="preserve">(512) 744-9399 (fax) </w:t>
      </w:r>
    </w:p>
    <w:p w14:paraId="6272DF7E" w14:textId="77777777" w:rsidR="008C6DCD" w:rsidRPr="008C6DCD" w:rsidRDefault="008C6DCD" w:rsidP="008C6DCD">
      <w:pPr>
        <w:spacing w:line="240" w:lineRule="auto"/>
        <w:ind w:firstLine="4320"/>
      </w:pPr>
    </w:p>
    <w:p w14:paraId="6BF4D490" w14:textId="77777777" w:rsidR="008C6DCD" w:rsidRPr="008C6DCD" w:rsidRDefault="008C6DCD" w:rsidP="008C6DCD">
      <w:pPr>
        <w:spacing w:line="240" w:lineRule="auto"/>
        <w:ind w:firstLine="4320"/>
      </w:pPr>
      <w:r w:rsidRPr="008C6DCD">
        <w:t>By:  _____________________________________</w:t>
      </w:r>
    </w:p>
    <w:p w14:paraId="2A8B98D1" w14:textId="77777777" w:rsidR="008C6DCD" w:rsidRPr="008C6DCD" w:rsidRDefault="00EF778E" w:rsidP="008C6DCD">
      <w:pPr>
        <w:spacing w:line="240" w:lineRule="auto"/>
        <w:ind w:left="720" w:firstLine="4320"/>
      </w:pPr>
      <w:r>
        <w:t>John F. Williams</w:t>
      </w:r>
    </w:p>
    <w:p w14:paraId="4872512F" w14:textId="77777777" w:rsidR="008C6DCD" w:rsidRDefault="008C6DCD" w:rsidP="008C6DCD">
      <w:pPr>
        <w:spacing w:line="240" w:lineRule="auto"/>
        <w:ind w:firstLine="4320"/>
        <w:rPr>
          <w:b/>
        </w:rPr>
      </w:pPr>
    </w:p>
    <w:p w14:paraId="64A147F2" w14:textId="77777777" w:rsidR="008C6DCD" w:rsidRPr="008C6DCD" w:rsidRDefault="008C6DCD" w:rsidP="008C6DCD">
      <w:pPr>
        <w:spacing w:line="240" w:lineRule="auto"/>
        <w:ind w:left="4320" w:firstLine="0"/>
        <w:jc w:val="left"/>
        <w:rPr>
          <w:b/>
        </w:rPr>
      </w:pPr>
      <w:r w:rsidRPr="008C6DCD">
        <w:rPr>
          <w:b/>
        </w:rPr>
        <w:t>ATTORNEYS FOR SOUTHWESTERN ELECTRIC POWER COMPANY</w:t>
      </w:r>
    </w:p>
    <w:p w14:paraId="1A5200E2" w14:textId="77777777" w:rsidR="008C6DCD" w:rsidRDefault="008C6DCD" w:rsidP="008C6DCD">
      <w:pPr>
        <w:spacing w:line="240" w:lineRule="auto"/>
        <w:ind w:firstLine="4320"/>
        <w:rPr>
          <w:b/>
          <w:u w:val="single"/>
        </w:rPr>
      </w:pPr>
    </w:p>
    <w:p w14:paraId="56F89C24" w14:textId="77777777" w:rsidR="002E5F1B" w:rsidRDefault="002E5F1B" w:rsidP="008C6DCD">
      <w:pPr>
        <w:spacing w:line="240" w:lineRule="auto"/>
        <w:ind w:firstLine="4320"/>
        <w:rPr>
          <w:b/>
          <w:u w:val="single"/>
        </w:rPr>
      </w:pPr>
    </w:p>
    <w:p w14:paraId="1A8AFA35" w14:textId="77777777" w:rsidR="002E5F1B" w:rsidRPr="008C6DCD" w:rsidRDefault="002E5F1B" w:rsidP="008C6DCD">
      <w:pPr>
        <w:spacing w:line="240" w:lineRule="auto"/>
        <w:ind w:firstLine="4320"/>
        <w:rPr>
          <w:b/>
          <w:u w:val="single"/>
        </w:rPr>
      </w:pPr>
    </w:p>
    <w:p w14:paraId="60AD70A9" w14:textId="77777777" w:rsidR="008C6DCD" w:rsidRDefault="008C6DCD" w:rsidP="008C6DCD">
      <w:pPr>
        <w:spacing w:line="240" w:lineRule="auto"/>
        <w:ind w:firstLine="0"/>
        <w:jc w:val="center"/>
        <w:rPr>
          <w:b/>
          <w:u w:val="single"/>
        </w:rPr>
      </w:pPr>
      <w:r w:rsidRPr="008C6DCD">
        <w:rPr>
          <w:b/>
          <w:u w:val="single"/>
        </w:rPr>
        <w:t>CERTIFICATE OF SERVICE</w:t>
      </w:r>
    </w:p>
    <w:p w14:paraId="78C7E014" w14:textId="77777777" w:rsidR="008C6DCD" w:rsidRPr="008C6DCD" w:rsidRDefault="008C6DCD" w:rsidP="008C6DCD">
      <w:pPr>
        <w:spacing w:line="240" w:lineRule="auto"/>
        <w:ind w:firstLine="0"/>
        <w:jc w:val="center"/>
        <w:rPr>
          <w:b/>
          <w:u w:val="single"/>
        </w:rPr>
      </w:pPr>
    </w:p>
    <w:p w14:paraId="26EC538E" w14:textId="77777777" w:rsidR="008C6DCD" w:rsidRPr="008C6DCD" w:rsidRDefault="008C6DCD" w:rsidP="008C6DCD">
      <w:r w:rsidRPr="008C6DCD">
        <w:t xml:space="preserve">I certify that a true and correct copy of this document was served by electronic mail, facsimile, hand-delivery, overnight delivery, or 1st Class U.S. Mail on all parties of record in this proceeding on October </w:t>
      </w:r>
      <w:r>
        <w:t>30</w:t>
      </w:r>
      <w:r w:rsidRPr="008C6DCD">
        <w:t>, 2017.</w:t>
      </w:r>
    </w:p>
    <w:p w14:paraId="534E44D4" w14:textId="77777777" w:rsidR="008C6DCD" w:rsidRPr="008C6DCD" w:rsidRDefault="008C6DCD" w:rsidP="008C6DCD">
      <w:pPr>
        <w:spacing w:line="240" w:lineRule="auto"/>
        <w:ind w:firstLine="4320"/>
      </w:pPr>
      <w:r w:rsidRPr="008C6DCD">
        <w:t>_____________________________</w:t>
      </w:r>
    </w:p>
    <w:p w14:paraId="7CB35579" w14:textId="77777777" w:rsidR="008C6DCD" w:rsidRPr="008C6DCD" w:rsidRDefault="00EF778E" w:rsidP="008C6DCD">
      <w:pPr>
        <w:spacing w:line="240" w:lineRule="auto"/>
        <w:ind w:firstLine="4320"/>
      </w:pPr>
      <w:r>
        <w:t>John F. Williams</w:t>
      </w:r>
    </w:p>
    <w:p w14:paraId="06E308B5" w14:textId="77777777" w:rsidR="008C6DCD" w:rsidRPr="008C6DCD" w:rsidRDefault="008C6DCD" w:rsidP="008C6DCD"/>
    <w:sectPr w:rsidR="008C6DCD" w:rsidRPr="008C6DCD" w:rsidSect="00333E80">
      <w:headerReference w:type="first" r:id="rId18"/>
      <w:pgSz w:w="12240" w:h="15840" w:code="1"/>
      <w:pgMar w:top="1440" w:right="1440" w:bottom="1440" w:left="1440" w:header="1008"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F1CF4" w14:textId="77777777" w:rsidR="00E711A1" w:rsidRDefault="00E711A1">
      <w:r>
        <w:separator/>
      </w:r>
    </w:p>
  </w:endnote>
  <w:endnote w:type="continuationSeparator" w:id="0">
    <w:p w14:paraId="1231CEDB" w14:textId="77777777" w:rsidR="00E711A1" w:rsidRDefault="00E7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7A644" w14:textId="77777777" w:rsidR="00BF1EC4" w:rsidRDefault="00BF1E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6D051" w14:textId="77777777" w:rsidR="00E711A1" w:rsidRDefault="00E711A1" w:rsidP="00381570">
      <w:pPr>
        <w:ind w:firstLine="0"/>
      </w:pPr>
      <w:r>
        <w:separator/>
      </w:r>
    </w:p>
  </w:footnote>
  <w:footnote w:type="continuationSeparator" w:id="0">
    <w:p w14:paraId="5B0AF7D7" w14:textId="77777777" w:rsidR="00E711A1" w:rsidRDefault="00E711A1">
      <w:r>
        <w:continuationSeparator/>
      </w:r>
    </w:p>
  </w:footnote>
  <w:footnote w:id="1">
    <w:p w14:paraId="4ED1C412" w14:textId="77777777" w:rsidR="00BF1EC4" w:rsidRDefault="00BF1EC4" w:rsidP="00DB5306">
      <w:pPr>
        <w:pStyle w:val="FootnoteText"/>
      </w:pPr>
      <w:r>
        <w:rPr>
          <w:rStyle w:val="FootnoteReference"/>
        </w:rPr>
        <w:footnoteRef/>
      </w:r>
      <w:r>
        <w:t xml:space="preserve"> </w:t>
      </w:r>
      <w:r>
        <w:tab/>
        <w:t xml:space="preserve">The capital improvements for the CSAPR and MATS retrofits were authorized by senior management in February 2012 and March 2012, respectively.  </w:t>
      </w:r>
      <w:proofErr w:type="gramStart"/>
      <w:r>
        <w:t>Rebuttal Testimony of Paul W. Franklin, SWEPCO Ex. 47 at Exhibit PWF-4, 1-6 (MATS), and 14-18 (CSAPR).</w:t>
      </w:r>
      <w:proofErr w:type="gramEnd"/>
      <w:r>
        <w:t xml:space="preserve"> </w:t>
      </w:r>
    </w:p>
  </w:footnote>
  <w:footnote w:id="2">
    <w:p w14:paraId="605BC8D8" w14:textId="77777777" w:rsidR="00BF1EC4" w:rsidRDefault="00BF1EC4" w:rsidP="00DB5306">
      <w:pPr>
        <w:pStyle w:val="FootnoteText"/>
      </w:pPr>
      <w:r>
        <w:rPr>
          <w:rStyle w:val="FootnoteReference"/>
        </w:rPr>
        <w:footnoteRef/>
      </w:r>
      <w:r>
        <w:t xml:space="preserve"> </w:t>
      </w:r>
      <w:r>
        <w:tab/>
        <w:t>SWEPCO Ex. 47 at 14.</w:t>
      </w:r>
    </w:p>
  </w:footnote>
  <w:footnote w:id="3">
    <w:p w14:paraId="3C34EC4C" w14:textId="77777777" w:rsidR="00BF1EC4" w:rsidRDefault="00BF1EC4" w:rsidP="00DB5306">
      <w:pPr>
        <w:pStyle w:val="FootnoteText"/>
      </w:pPr>
      <w:r>
        <w:rPr>
          <w:rStyle w:val="FootnoteReference"/>
        </w:rPr>
        <w:footnoteRef/>
      </w:r>
      <w:r>
        <w:t xml:space="preserve"> </w:t>
      </w:r>
      <w:r>
        <w:tab/>
        <w:t>Tr. at 311:18-25 (Brice Cross), 408:8-20 (Brice Redirect) (June 6, 2017).</w:t>
      </w:r>
    </w:p>
  </w:footnote>
  <w:footnote w:id="4">
    <w:p w14:paraId="5559F3AE" w14:textId="77777777" w:rsidR="00BF1EC4" w:rsidRPr="00D82D2B" w:rsidRDefault="00BF1EC4" w:rsidP="00DB5306">
      <w:pPr>
        <w:pStyle w:val="FootnoteText"/>
      </w:pPr>
      <w:r>
        <w:rPr>
          <w:rStyle w:val="FootnoteReference"/>
        </w:rPr>
        <w:footnoteRef/>
      </w:r>
      <w:r>
        <w:t xml:space="preserve"> </w:t>
      </w:r>
      <w:r>
        <w:tab/>
      </w:r>
      <w:proofErr w:type="gramStart"/>
      <w:r w:rsidRPr="00D55F85">
        <w:t>LPSC Docket No.</w:t>
      </w:r>
      <w:proofErr w:type="gramEnd"/>
      <w:r w:rsidRPr="00D55F85">
        <w:t xml:space="preserve"> U-32507 Order, Direct Testimony of Venita McCellon-Allen, SWEPCO Ex. 11 at Exhibit VMA-4</w:t>
      </w:r>
      <w:r>
        <w:t>.</w:t>
      </w:r>
    </w:p>
  </w:footnote>
  <w:footnote w:id="5">
    <w:p w14:paraId="76E62C67" w14:textId="77777777" w:rsidR="00BF1EC4" w:rsidRPr="00AE7D88" w:rsidRDefault="00BF1EC4" w:rsidP="00DB5306">
      <w:pPr>
        <w:pStyle w:val="FootnoteText"/>
      </w:pPr>
      <w:r>
        <w:rPr>
          <w:rStyle w:val="FootnoteReference"/>
        </w:rPr>
        <w:footnoteRef/>
      </w:r>
      <w:r>
        <w:t xml:space="preserve"> </w:t>
      </w:r>
      <w:r>
        <w:tab/>
        <w:t xml:space="preserve">SWEPCO Ex. 48 at 1; </w:t>
      </w:r>
      <w:r>
        <w:rPr>
          <w:i/>
        </w:rPr>
        <w:t xml:space="preserve">see also </w:t>
      </w:r>
      <w:r>
        <w:t>Exhibit KGS-1R (statement of qualifications).</w:t>
      </w:r>
    </w:p>
  </w:footnote>
  <w:footnote w:id="6">
    <w:p w14:paraId="77427595" w14:textId="77777777" w:rsidR="00BF1EC4" w:rsidRDefault="00BF1EC4" w:rsidP="00DB5306">
      <w:pPr>
        <w:pStyle w:val="FootnoteText"/>
      </w:pPr>
      <w:r>
        <w:rPr>
          <w:rStyle w:val="FootnoteReference"/>
        </w:rPr>
        <w:footnoteRef/>
      </w:r>
      <w:r>
        <w:t xml:space="preserve"> </w:t>
      </w:r>
      <w:r>
        <w:tab/>
        <w:t>SWEPCO Ex. 48 at 4.</w:t>
      </w:r>
    </w:p>
  </w:footnote>
  <w:footnote w:id="7">
    <w:p w14:paraId="4BA5D33C" w14:textId="77777777" w:rsidR="00BF1EC4" w:rsidRDefault="00BF1EC4" w:rsidP="005A2A69">
      <w:pPr>
        <w:pStyle w:val="FootnoteText"/>
      </w:pPr>
      <w:r>
        <w:rPr>
          <w:rStyle w:val="FootnoteReference"/>
        </w:rPr>
        <w:footnoteRef/>
      </w:r>
      <w:r>
        <w:t xml:space="preserve"> </w:t>
      </w:r>
      <w:r>
        <w:tab/>
      </w:r>
      <w:proofErr w:type="gramStart"/>
      <w:r>
        <w:t>PFD at 48.</w:t>
      </w:r>
      <w:proofErr w:type="gramEnd"/>
    </w:p>
  </w:footnote>
  <w:footnote w:id="8">
    <w:p w14:paraId="33A5733F" w14:textId="77777777" w:rsidR="00BF1EC4" w:rsidRDefault="00BF1EC4" w:rsidP="0016191B">
      <w:pPr>
        <w:pStyle w:val="FootnoteText"/>
      </w:pPr>
      <w:r>
        <w:rPr>
          <w:rStyle w:val="FootnoteReference"/>
        </w:rPr>
        <w:footnoteRef/>
      </w:r>
      <w:r>
        <w:t xml:space="preserve"> </w:t>
      </w:r>
      <w:r>
        <w:tab/>
      </w:r>
      <w:proofErr w:type="gramStart"/>
      <w:r>
        <w:t>PFD at 44.</w:t>
      </w:r>
      <w:proofErr w:type="gramEnd"/>
    </w:p>
  </w:footnote>
  <w:footnote w:id="9">
    <w:p w14:paraId="6D43188B" w14:textId="77777777" w:rsidR="00BF1EC4" w:rsidRDefault="00BF1EC4" w:rsidP="0043330F">
      <w:pPr>
        <w:pStyle w:val="FootnoteText"/>
      </w:pPr>
      <w:r>
        <w:rPr>
          <w:rStyle w:val="FootnoteReference"/>
        </w:rPr>
        <w:footnoteRef/>
      </w:r>
      <w:r>
        <w:t xml:space="preserve"> </w:t>
      </w:r>
      <w:r>
        <w:tab/>
        <w:t>Tr. at 11-12.</w:t>
      </w:r>
    </w:p>
  </w:footnote>
  <w:footnote w:id="10">
    <w:p w14:paraId="42117279" w14:textId="77777777" w:rsidR="00BF1EC4" w:rsidRDefault="00BF1EC4" w:rsidP="0043330F">
      <w:pPr>
        <w:pStyle w:val="FootnoteText"/>
      </w:pPr>
      <w:r>
        <w:rPr>
          <w:rStyle w:val="FootnoteReference"/>
        </w:rPr>
        <w:footnoteRef/>
      </w:r>
      <w:r>
        <w:t xml:space="preserve"> </w:t>
      </w:r>
      <w:r>
        <w:tab/>
        <w:t>Joint Objection and Motion to Strike at 10 (May 26, 2017).</w:t>
      </w:r>
    </w:p>
  </w:footnote>
  <w:footnote w:id="11">
    <w:p w14:paraId="32616E0A" w14:textId="77777777" w:rsidR="00BF1EC4" w:rsidRDefault="00BF1EC4" w:rsidP="00A024D0">
      <w:pPr>
        <w:pStyle w:val="FootnoteText"/>
      </w:pPr>
      <w:r>
        <w:rPr>
          <w:rStyle w:val="FootnoteReference"/>
        </w:rPr>
        <w:footnoteRef/>
      </w:r>
      <w:r>
        <w:t xml:space="preserve"> </w:t>
      </w:r>
      <w:r>
        <w:tab/>
      </w:r>
      <w:proofErr w:type="gramStart"/>
      <w:r>
        <w:t>Sierra Club Exceptions at 3, 22, 25, 26-27, 29, 33, 35, 36, 38, 41.</w:t>
      </w:r>
      <w:proofErr w:type="gramEnd"/>
    </w:p>
  </w:footnote>
  <w:footnote w:id="12">
    <w:p w14:paraId="5EC7468E" w14:textId="77777777" w:rsidR="00BF1EC4" w:rsidRPr="0059129F" w:rsidRDefault="00BF1EC4" w:rsidP="005A2A69">
      <w:pPr>
        <w:pStyle w:val="FootnoteText"/>
      </w:pPr>
      <w:r w:rsidRPr="0059129F">
        <w:rPr>
          <w:rStyle w:val="FootnoteReference"/>
        </w:rPr>
        <w:footnoteRef/>
      </w:r>
      <w:r>
        <w:t>  </w:t>
      </w:r>
      <w:r>
        <w:tab/>
        <w:t>The motion also objected</w:t>
      </w:r>
      <w:r w:rsidRPr="0059129F">
        <w:t xml:space="preserve"> to other portions of Mr. Strunk’s rebuttal on</w:t>
      </w:r>
      <w:r>
        <w:t xml:space="preserve"> the erroneous basis that they we</w:t>
      </w:r>
      <w:r w:rsidRPr="0059129F">
        <w:t>re part of the information related to the retrospective economi</w:t>
      </w:r>
      <w:r>
        <w:t>c analysis.</w:t>
      </w:r>
    </w:p>
  </w:footnote>
  <w:footnote w:id="13">
    <w:p w14:paraId="1DEA9605" w14:textId="77777777" w:rsidR="00BF1EC4" w:rsidRDefault="00BF1EC4" w:rsidP="005A2A69">
      <w:pPr>
        <w:pStyle w:val="FootnoteText"/>
      </w:pPr>
      <w:r>
        <w:rPr>
          <w:rStyle w:val="FootnoteReference"/>
        </w:rPr>
        <w:footnoteRef/>
      </w:r>
      <w:r>
        <w:t xml:space="preserve"> </w:t>
      </w:r>
      <w:r>
        <w:tab/>
      </w:r>
      <w:proofErr w:type="gramStart"/>
      <w:r>
        <w:t>Sierra Club Exceptions at 15.</w:t>
      </w:r>
      <w:proofErr w:type="gramEnd"/>
    </w:p>
  </w:footnote>
  <w:footnote w:id="14">
    <w:p w14:paraId="4B8A0EE3" w14:textId="77777777" w:rsidR="00BF1EC4" w:rsidRPr="004E081F" w:rsidRDefault="00BF1EC4" w:rsidP="005A2A69">
      <w:pPr>
        <w:pStyle w:val="FootnoteText"/>
      </w:pPr>
      <w:r>
        <w:rPr>
          <w:rStyle w:val="FootnoteReference"/>
        </w:rPr>
        <w:footnoteRef/>
      </w:r>
      <w:r>
        <w:t xml:space="preserve"> </w:t>
      </w:r>
      <w:r>
        <w:tab/>
      </w:r>
      <w:r>
        <w:rPr>
          <w:i/>
        </w:rPr>
        <w:t xml:space="preserve">See </w:t>
      </w:r>
      <w:r>
        <w:t>SWEPCO’s Response to Joint Objection at 2-4 (Jun. 2, 2017).</w:t>
      </w:r>
    </w:p>
  </w:footnote>
  <w:footnote w:id="15">
    <w:p w14:paraId="0A6A08D6" w14:textId="77777777" w:rsidR="00BF1EC4" w:rsidRPr="00B42CBE" w:rsidRDefault="00BF1EC4" w:rsidP="005A2A69">
      <w:pPr>
        <w:pStyle w:val="FootnoteText"/>
      </w:pPr>
      <w:r>
        <w:rPr>
          <w:rStyle w:val="FootnoteReference"/>
        </w:rPr>
        <w:footnoteRef/>
      </w:r>
      <w:r>
        <w:t xml:space="preserve"> </w:t>
      </w:r>
      <w:r>
        <w:tab/>
      </w:r>
      <w:proofErr w:type="gramStart"/>
      <w:r w:rsidRPr="00B42CBE">
        <w:rPr>
          <w:i/>
        </w:rPr>
        <w:t>E.g., Cafarelli Bros. v. Bell</w:t>
      </w:r>
      <w:r w:rsidRPr="00B42CBE">
        <w:t xml:space="preserve">, 190 S.W. 223, </w:t>
      </w:r>
      <w:r>
        <w:t>225</w:t>
      </w:r>
      <w:r w:rsidRPr="00B42CBE">
        <w:t xml:space="preserve"> (Tex. Civ. App.—San Antonio, 1916); </w:t>
      </w:r>
      <w:r w:rsidRPr="00B42CBE">
        <w:rPr>
          <w:i/>
        </w:rPr>
        <w:t xml:space="preserve">Maguire v. Federal Crop Ins. Corp, </w:t>
      </w:r>
      <w:r w:rsidRPr="00B42CBE">
        <w:t>181 F.2d 320</w:t>
      </w:r>
      <w:r>
        <w:t>, 322</w:t>
      </w:r>
      <w:r w:rsidRPr="00B42CBE">
        <w:t xml:space="preserve"> (5th Cir. 1950)</w:t>
      </w:r>
      <w:r>
        <w:t>.</w:t>
      </w:r>
      <w:proofErr w:type="gramEnd"/>
    </w:p>
  </w:footnote>
  <w:footnote w:id="16">
    <w:p w14:paraId="20E1C293" w14:textId="77777777" w:rsidR="00BF1EC4" w:rsidRPr="003D2F1C" w:rsidRDefault="00BF1EC4" w:rsidP="005A2A69">
      <w:pPr>
        <w:pStyle w:val="FootnoteText"/>
      </w:pPr>
      <w:r w:rsidRPr="007A2BF5">
        <w:rPr>
          <w:rStyle w:val="FootnoteReference"/>
        </w:rPr>
        <w:footnoteRef/>
      </w:r>
      <w:r>
        <w:t>  </w:t>
      </w:r>
      <w:r>
        <w:tab/>
      </w:r>
      <w:r w:rsidRPr="003D2F1C">
        <w:t>Direct Testimony of Rachel Wilson</w:t>
      </w:r>
      <w:r>
        <w:t>, Sierra Club Ex. 22</w:t>
      </w:r>
      <w:r w:rsidRPr="003D2F1C">
        <w:t xml:space="preserve"> at 8, 12, 14, 15, 17, 41, </w:t>
      </w:r>
      <w:r>
        <w:t xml:space="preserve">and </w:t>
      </w:r>
      <w:r w:rsidRPr="003D2F1C">
        <w:t>43, Table 4.</w:t>
      </w:r>
    </w:p>
  </w:footnote>
  <w:footnote w:id="17">
    <w:p w14:paraId="0FF24A29" w14:textId="77777777" w:rsidR="00BF1EC4" w:rsidRPr="00794922" w:rsidRDefault="00BF1EC4" w:rsidP="005A2A69">
      <w:pPr>
        <w:pStyle w:val="FootnoteText"/>
      </w:pPr>
      <w:r w:rsidRPr="004123A4">
        <w:rPr>
          <w:rStyle w:val="FootnoteReference"/>
        </w:rPr>
        <w:footnoteRef/>
      </w:r>
      <w:r>
        <w:t>  </w:t>
      </w:r>
      <w:r>
        <w:tab/>
      </w:r>
      <w:proofErr w:type="gramStart"/>
      <w:r>
        <w:t>Rebuttal Testimony of Kurt G. Strunk, SWEPCO Ex. 48 at Section VII.</w:t>
      </w:r>
      <w:proofErr w:type="gramEnd"/>
    </w:p>
  </w:footnote>
  <w:footnote w:id="18">
    <w:p w14:paraId="5D13C8AE" w14:textId="77777777" w:rsidR="00BF1EC4" w:rsidRPr="0042774B" w:rsidRDefault="00BF1EC4" w:rsidP="005A2A69">
      <w:pPr>
        <w:pStyle w:val="FootnoteText"/>
      </w:pPr>
      <w:r w:rsidRPr="00794922">
        <w:rPr>
          <w:rStyle w:val="FootnoteReference"/>
        </w:rPr>
        <w:footnoteRef/>
      </w:r>
      <w:r>
        <w:t>  </w:t>
      </w:r>
      <w:r>
        <w:tab/>
        <w:t>Sierra Club Ex. 22at 38-39; Direct Testimony of Kevin Woodruff, OPUC Ex. 3 at 34-38.</w:t>
      </w:r>
    </w:p>
  </w:footnote>
  <w:footnote w:id="19">
    <w:p w14:paraId="5B06A77B" w14:textId="77777777" w:rsidR="00BF1EC4" w:rsidRPr="00BC20FC" w:rsidRDefault="00BF1EC4" w:rsidP="005A2A69">
      <w:pPr>
        <w:pStyle w:val="FootnoteText"/>
      </w:pPr>
      <w:r w:rsidRPr="00BC20FC">
        <w:rPr>
          <w:rStyle w:val="FootnoteReference"/>
        </w:rPr>
        <w:footnoteRef/>
      </w:r>
      <w:r>
        <w:t>  </w:t>
      </w:r>
      <w:r>
        <w:tab/>
        <w:t>OPUC Ex. 3 at</w:t>
      </w:r>
      <w:r w:rsidDel="005E41C3">
        <w:t xml:space="preserve"> </w:t>
      </w:r>
      <w:r w:rsidRPr="00BC20FC">
        <w:t>34-</w:t>
      </w:r>
      <w:r>
        <w:t>35</w:t>
      </w:r>
      <w:r w:rsidRPr="00BC20FC">
        <w:t>, 39-40</w:t>
      </w:r>
      <w:r>
        <w:t>.</w:t>
      </w:r>
    </w:p>
  </w:footnote>
  <w:footnote w:id="20">
    <w:p w14:paraId="29540595" w14:textId="77777777" w:rsidR="00BF1EC4" w:rsidRPr="00AF5014" w:rsidRDefault="00BF1EC4" w:rsidP="005A2A69">
      <w:pPr>
        <w:pStyle w:val="FootnoteText"/>
      </w:pPr>
      <w:r w:rsidRPr="00AF5014">
        <w:rPr>
          <w:rStyle w:val="FootnoteReference"/>
        </w:rPr>
        <w:footnoteRef/>
      </w:r>
      <w:r>
        <w:t>  </w:t>
      </w:r>
      <w:r>
        <w:tab/>
      </w:r>
      <w:r w:rsidRPr="00127EBF">
        <w:rPr>
          <w:i/>
        </w:rPr>
        <w:t>E.g.</w:t>
      </w:r>
      <w:r w:rsidRPr="00AF5014">
        <w:t xml:space="preserve">, </w:t>
      </w:r>
      <w:r>
        <w:t xml:space="preserve">SWEPCO Ex. 48 </w:t>
      </w:r>
      <w:r w:rsidRPr="00AF5014">
        <w:t>at 26, Table 2.</w:t>
      </w:r>
    </w:p>
  </w:footnote>
  <w:footnote w:id="21">
    <w:p w14:paraId="1766EE30" w14:textId="77777777" w:rsidR="00BF1EC4" w:rsidRDefault="00BF1EC4" w:rsidP="005A2A69">
      <w:pPr>
        <w:pStyle w:val="FootnoteText"/>
      </w:pPr>
      <w:r w:rsidRPr="005E41C3">
        <w:rPr>
          <w:rStyle w:val="FootnoteReference"/>
        </w:rPr>
        <w:footnoteRef/>
      </w:r>
      <w:r w:rsidRPr="005E41C3">
        <w:t xml:space="preserve"> </w:t>
      </w:r>
      <w:r w:rsidRPr="005E41C3">
        <w:tab/>
      </w:r>
      <w:proofErr w:type="gramStart"/>
      <w:r w:rsidRPr="005E41C3">
        <w:t xml:space="preserve">PFD at </w:t>
      </w:r>
      <w:r w:rsidRPr="00E9474C">
        <w:t>43.</w:t>
      </w:r>
      <w:proofErr w:type="gramEnd"/>
    </w:p>
  </w:footnote>
  <w:footnote w:id="22">
    <w:p w14:paraId="62CC5EBC" w14:textId="77777777" w:rsidR="00BF1EC4" w:rsidRPr="00652BAA" w:rsidRDefault="00BF1EC4" w:rsidP="005A2A69">
      <w:pPr>
        <w:pStyle w:val="FootnoteText"/>
      </w:pPr>
      <w:r w:rsidRPr="00E921F7">
        <w:rPr>
          <w:rStyle w:val="FootnoteReference"/>
        </w:rPr>
        <w:footnoteRef/>
      </w:r>
      <w:r>
        <w:t> </w:t>
      </w:r>
      <w:r>
        <w:tab/>
        <w:t> </w:t>
      </w:r>
      <w:r w:rsidRPr="00280950">
        <w:rPr>
          <w:i/>
        </w:rPr>
        <w:t>E.g</w:t>
      </w:r>
      <w:r w:rsidRPr="00127EBF">
        <w:rPr>
          <w:i/>
        </w:rPr>
        <w:t>.</w:t>
      </w:r>
      <w:r w:rsidRPr="00E921F7">
        <w:t xml:space="preserve">, </w:t>
      </w:r>
      <w:r>
        <w:t xml:space="preserve">Sierra Club Ex. 22 </w:t>
      </w:r>
      <w:r w:rsidRPr="00E921F7">
        <w:t xml:space="preserve">at 5, ll. 25-29, 40, ll. 3-6; </w:t>
      </w:r>
      <w:r>
        <w:t xml:space="preserve">OPUC Ex. 3 </w:t>
      </w:r>
      <w:r w:rsidRPr="00E921F7">
        <w:t xml:space="preserve">at 32, ll. 8-10, </w:t>
      </w:r>
      <w:r>
        <w:t>33, ll</w:t>
      </w:r>
      <w:r w:rsidRPr="00E921F7">
        <w:t>.</w:t>
      </w:r>
      <w:r>
        <w:t xml:space="preserve"> </w:t>
      </w:r>
      <w:r w:rsidRPr="00E921F7">
        <w:t xml:space="preserve">3-15, </w:t>
      </w:r>
      <w:r>
        <w:rPr>
          <w:szCs w:val="24"/>
        </w:rPr>
        <w:t xml:space="preserve"> </w:t>
      </w:r>
      <w:r w:rsidRPr="00E921F7">
        <w:t>34, ll. 1-5</w:t>
      </w:r>
      <w:r>
        <w:t>, 44, l. 7-11.</w:t>
      </w:r>
    </w:p>
  </w:footnote>
  <w:footnote w:id="23">
    <w:p w14:paraId="555B2E15" w14:textId="77777777" w:rsidR="00BF1EC4" w:rsidRPr="00AF5014" w:rsidRDefault="00BF1EC4" w:rsidP="005A2A69">
      <w:pPr>
        <w:pStyle w:val="FootnoteText"/>
      </w:pPr>
      <w:r w:rsidRPr="00CD54B9">
        <w:rPr>
          <w:rStyle w:val="FootnoteReference"/>
        </w:rPr>
        <w:footnoteRef/>
      </w:r>
      <w:r>
        <w:t>  </w:t>
      </w:r>
      <w:r>
        <w:tab/>
      </w:r>
      <w:proofErr w:type="gramStart"/>
      <w:r>
        <w:rPr>
          <w:i/>
        </w:rPr>
        <w:t>Ayers v. Harris</w:t>
      </w:r>
      <w:r>
        <w:t>, 13 S.W. 768, 772-773, 77 Tex. 108, 120-121 (Tex. 1890).</w:t>
      </w:r>
      <w:proofErr w:type="gramEnd"/>
    </w:p>
  </w:footnote>
  <w:footnote w:id="24">
    <w:p w14:paraId="2603C907" w14:textId="77777777" w:rsidR="00BF1EC4" w:rsidRPr="00CD54B9" w:rsidRDefault="00BF1EC4" w:rsidP="005A2A69">
      <w:pPr>
        <w:pStyle w:val="FootnoteText"/>
      </w:pPr>
      <w:r w:rsidRPr="00CD54B9">
        <w:rPr>
          <w:rStyle w:val="FootnoteReference"/>
        </w:rPr>
        <w:footnoteRef/>
      </w:r>
      <w:r>
        <w:rPr>
          <w:i/>
        </w:rPr>
        <w:t> </w:t>
      </w:r>
      <w:r>
        <w:rPr>
          <w:i/>
        </w:rPr>
        <w:tab/>
        <w:t> </w:t>
      </w:r>
      <w:proofErr w:type="gramStart"/>
      <w:r w:rsidRPr="00CD54B9">
        <w:rPr>
          <w:i/>
        </w:rPr>
        <w:t xml:space="preserve">Id. </w:t>
      </w:r>
      <w:r w:rsidRPr="00CD54B9">
        <w:t>at 121.</w:t>
      </w:r>
      <w:proofErr w:type="gramEnd"/>
    </w:p>
  </w:footnote>
  <w:footnote w:id="25">
    <w:p w14:paraId="7A43CC82" w14:textId="77777777" w:rsidR="00BF1EC4" w:rsidRPr="002875FA" w:rsidRDefault="00BF1EC4" w:rsidP="00A024D0">
      <w:pPr>
        <w:pStyle w:val="FootnoteText"/>
        <w:rPr>
          <w:i/>
        </w:rPr>
      </w:pPr>
      <w:r>
        <w:rPr>
          <w:rStyle w:val="FootnoteReference"/>
        </w:rPr>
        <w:footnoteRef/>
      </w:r>
      <w:r>
        <w:t xml:space="preserve"> </w:t>
      </w:r>
      <w:r>
        <w:tab/>
      </w:r>
      <w:r>
        <w:rPr>
          <w:i/>
        </w:rPr>
        <w:t xml:space="preserve">Joint Report and Application of Oncor </w:t>
      </w:r>
      <w:r w:rsidRPr="000D7137">
        <w:rPr>
          <w:i/>
        </w:rPr>
        <w:t>Electric Delivery Company LLC, Ovation Acquisition I, LLC, Ovation Acquisition II, LLC, and Shary Holdings, LLC for Regulatory Approvals Pursuant to PURA</w:t>
      </w:r>
      <w:r>
        <w:rPr>
          <w:i/>
        </w:rPr>
        <w:t xml:space="preserve"> §§ 14.101, 37.154</w:t>
      </w:r>
      <w:proofErr w:type="gramStart"/>
      <w:r>
        <w:rPr>
          <w:i/>
        </w:rPr>
        <w:t>,39.262</w:t>
      </w:r>
      <w:proofErr w:type="gramEnd"/>
      <w:r>
        <w:rPr>
          <w:i/>
        </w:rPr>
        <w:t>(I)-(m), and 39.915.</w:t>
      </w:r>
    </w:p>
  </w:footnote>
  <w:footnote w:id="26">
    <w:p w14:paraId="1609958F" w14:textId="77777777" w:rsidR="00BF1EC4" w:rsidRPr="002875FA" w:rsidRDefault="00BF1EC4" w:rsidP="00A024D0">
      <w:pPr>
        <w:pStyle w:val="FootnoteText"/>
        <w:rPr>
          <w:i/>
        </w:rPr>
      </w:pPr>
      <w:r>
        <w:rPr>
          <w:rStyle w:val="FootnoteReference"/>
        </w:rPr>
        <w:footnoteRef/>
      </w:r>
      <w:r>
        <w:t xml:space="preserve"> </w:t>
      </w:r>
      <w:r>
        <w:tab/>
      </w:r>
      <w:r>
        <w:rPr>
          <w:i/>
        </w:rPr>
        <w:t xml:space="preserve">Id. </w:t>
      </w:r>
      <w:r w:rsidRPr="002875FA">
        <w:t>at 3-4.</w:t>
      </w:r>
    </w:p>
  </w:footnote>
  <w:footnote w:id="27">
    <w:p w14:paraId="08BB4BDF" w14:textId="77777777" w:rsidR="00BF1EC4" w:rsidRDefault="00BF1EC4" w:rsidP="00A024D0">
      <w:pPr>
        <w:pStyle w:val="FootnoteText"/>
      </w:pPr>
      <w:r>
        <w:rPr>
          <w:rStyle w:val="FootnoteReference"/>
        </w:rPr>
        <w:footnoteRef/>
      </w:r>
      <w:r>
        <w:t xml:space="preserve"> </w:t>
      </w:r>
      <w:r>
        <w:tab/>
      </w:r>
      <w:r>
        <w:rPr>
          <w:i/>
        </w:rPr>
        <w:t xml:space="preserve">See </w:t>
      </w:r>
      <w:r>
        <w:t>SWEPCO’s Response to Joint Objection at 4-6 (Jun. 2, 2017) (demonstrating that Strunk analysis was not the type of information requested in discovery).</w:t>
      </w:r>
    </w:p>
  </w:footnote>
  <w:footnote w:id="28">
    <w:p w14:paraId="145A50FA" w14:textId="77777777" w:rsidR="00BF1EC4" w:rsidRDefault="00BF1EC4" w:rsidP="00A024D0">
      <w:pPr>
        <w:pStyle w:val="FootnoteText"/>
      </w:pPr>
      <w:r>
        <w:rPr>
          <w:rStyle w:val="FootnoteReference"/>
        </w:rPr>
        <w:footnoteRef/>
      </w:r>
      <w:r>
        <w:t xml:space="preserve"> </w:t>
      </w:r>
      <w:r>
        <w:tab/>
      </w:r>
      <w:r>
        <w:rPr>
          <w:i/>
        </w:rPr>
        <w:t xml:space="preserve">See </w:t>
      </w:r>
      <w:r>
        <w:t>SWEPCO’s response to OPUC 17-1, OPUC Ex. 26.</w:t>
      </w:r>
    </w:p>
  </w:footnote>
  <w:footnote w:id="29">
    <w:p w14:paraId="67E14BAD" w14:textId="77777777" w:rsidR="00BF1EC4" w:rsidRPr="002875FA" w:rsidRDefault="00BF1EC4" w:rsidP="00F07275">
      <w:pPr>
        <w:pStyle w:val="FootnoteText"/>
        <w:rPr>
          <w:rFonts w:asciiTheme="minorHAnsi" w:hAnsiTheme="minorHAnsi" w:cstheme="minorBidi"/>
          <w:color w:val="1F497D" w:themeColor="dark2"/>
        </w:rPr>
      </w:pPr>
      <w:r>
        <w:rPr>
          <w:rStyle w:val="FootnoteReference"/>
        </w:rPr>
        <w:footnoteRef/>
      </w:r>
      <w:r>
        <w:t xml:space="preserve"> </w:t>
      </w:r>
      <w:r>
        <w:tab/>
      </w:r>
      <w:r w:rsidRPr="006D6485">
        <w:t xml:space="preserve">Sierra Club’s citation to </w:t>
      </w:r>
      <w:r w:rsidRPr="002875FA">
        <w:t xml:space="preserve">Docket No. 20314, </w:t>
      </w:r>
      <w:r w:rsidRPr="002875FA">
        <w:rPr>
          <w:i/>
        </w:rPr>
        <w:t>Application of Hino Electric Power Company for a Certificate of Convenience and Necessity in Hidalgo and Willacy Counties</w:t>
      </w:r>
      <w:r w:rsidRPr="002875FA">
        <w:t>, PFD at 15-18 (Apr. 4, 2000)</w:t>
      </w:r>
      <w:r>
        <w:t xml:space="preserve"> is not on point.  In this case, the striking of applicant’s testimony was primarily the product of the need to remedy discovery abuse, where applicant failed to provide information specifically requested in discovery, and then attempted to include it in its rebuttal case.  Moreover, in the </w:t>
      </w:r>
      <w:r>
        <w:rPr>
          <w:i/>
        </w:rPr>
        <w:t xml:space="preserve">Hino </w:t>
      </w:r>
      <w:r>
        <w:t>case, the ALJ found the testimony to be far beyond the proper scope of rebuttal, while the ALJs here have specifically found SWEPCO’s evidence to be proper rebuttal.</w:t>
      </w:r>
    </w:p>
  </w:footnote>
  <w:footnote w:id="30">
    <w:p w14:paraId="49212947" w14:textId="77777777" w:rsidR="00BF1EC4" w:rsidRPr="000C72B0" w:rsidRDefault="00BF1EC4" w:rsidP="00070D0F">
      <w:pPr>
        <w:pStyle w:val="FootnoteText"/>
        <w:keepNext/>
        <w:keepLines/>
      </w:pPr>
      <w:r>
        <w:rPr>
          <w:rStyle w:val="FootnoteReference"/>
        </w:rPr>
        <w:footnoteRef/>
      </w:r>
      <w:r>
        <w:t xml:space="preserve">  </w:t>
      </w:r>
      <w:r>
        <w:tab/>
      </w:r>
      <w:r>
        <w:rPr>
          <w:i/>
        </w:rPr>
        <w:t>Sierra Club v. Cedar Point Oil Co.</w:t>
      </w:r>
      <w:r>
        <w:t>, 73 F.3d 546, 571 (5</w:t>
      </w:r>
      <w:r w:rsidRPr="002875FA">
        <w:rPr>
          <w:vertAlign w:val="superscript"/>
        </w:rPr>
        <w:t>th</w:t>
      </w:r>
      <w:r>
        <w:t xml:space="preserve"> Circ. 1996) does not involve a ruling on the proper scope of rebuttal.  Instead, it addresses whether an expert’s initial report met the requirements of the trial court’s accelerated discovery order.  </w:t>
      </w:r>
      <w:r>
        <w:rPr>
          <w:i/>
        </w:rPr>
        <w:t>Marinor Associates, Inc. v. M/V Panama Express</w:t>
      </w:r>
      <w:r>
        <w:t>, 2011 WL 710616 (S.D. Tex. 2011) is an unreported case addressing the requirements of summary judgment practice.</w:t>
      </w:r>
    </w:p>
  </w:footnote>
  <w:footnote w:id="31">
    <w:p w14:paraId="1839652F" w14:textId="77777777" w:rsidR="00BF1EC4" w:rsidRPr="004D41B9" w:rsidRDefault="00BF1EC4" w:rsidP="00A024D0">
      <w:pPr>
        <w:pStyle w:val="FootnoteText"/>
      </w:pPr>
      <w:r>
        <w:rPr>
          <w:rStyle w:val="FootnoteReference"/>
        </w:rPr>
        <w:footnoteRef/>
      </w:r>
      <w:r>
        <w:t xml:space="preserve"> </w:t>
      </w:r>
      <w:r>
        <w:tab/>
      </w:r>
      <w:r>
        <w:rPr>
          <w:i/>
        </w:rPr>
        <w:t>Boudloche v. Chrysler Corp.</w:t>
      </w:r>
      <w:r>
        <w:t xml:space="preserve">, 1996 WL 502165 (E.D. La. 1996) is also an unreported case.  In addition to the plaintiffs admitting the information in question was not rebuttal, the rebuttal expert reports were not authorized at all by the trial court’s rules.  </w:t>
      </w:r>
    </w:p>
  </w:footnote>
  <w:footnote w:id="32">
    <w:p w14:paraId="6CEB6E20" w14:textId="77777777" w:rsidR="00BF1EC4" w:rsidRDefault="00BF1EC4" w:rsidP="005A2A69">
      <w:pPr>
        <w:pStyle w:val="FootnoteText"/>
      </w:pPr>
      <w:r>
        <w:rPr>
          <w:rStyle w:val="FootnoteReference"/>
        </w:rPr>
        <w:footnoteRef/>
      </w:r>
      <w:r>
        <w:t xml:space="preserve"> </w:t>
      </w:r>
      <w:r>
        <w:tab/>
        <w:t>PFD at 43-44.</w:t>
      </w:r>
    </w:p>
  </w:footnote>
  <w:footnote w:id="33">
    <w:p w14:paraId="1EECA85B" w14:textId="77777777" w:rsidR="00BF1EC4" w:rsidRPr="00771E14" w:rsidRDefault="00BF1EC4" w:rsidP="005A2A69">
      <w:pPr>
        <w:pStyle w:val="FootnoteText"/>
      </w:pPr>
      <w:r>
        <w:rPr>
          <w:rStyle w:val="FootnoteReference"/>
        </w:rPr>
        <w:footnoteRef/>
      </w:r>
      <w:r>
        <w:t xml:space="preserve"> </w:t>
      </w:r>
      <w:r>
        <w:tab/>
      </w:r>
      <w:r>
        <w:rPr>
          <w:i/>
        </w:rPr>
        <w:t xml:space="preserve">E.g., Application of </w:t>
      </w:r>
      <w:r w:rsidRPr="00E9474C">
        <w:rPr>
          <w:i/>
        </w:rPr>
        <w:t>Gulf States Utilities Co.</w:t>
      </w:r>
      <w:r w:rsidRPr="00F9269E">
        <w:rPr>
          <w:i/>
        </w:rPr>
        <w:t xml:space="preserve"> </w:t>
      </w:r>
      <w:r>
        <w:rPr>
          <w:i/>
        </w:rPr>
        <w:t>for Authority to Change Rates</w:t>
      </w:r>
      <w:r>
        <w:t>,</w:t>
      </w:r>
      <w:r>
        <w:rPr>
          <w:i/>
        </w:rPr>
        <w:t xml:space="preserve"> </w:t>
      </w:r>
      <w:r>
        <w:t>Docket No. 7195, Examiner’s Report at 18 (“the prudent investment test is embodied in traditional ratemaking principles as expressed through [then] PURA Sections 2, 38, 39, and 41.”)..</w:t>
      </w:r>
    </w:p>
  </w:footnote>
  <w:footnote w:id="34">
    <w:p w14:paraId="78035FBB" w14:textId="77777777" w:rsidR="00BF1EC4" w:rsidRPr="00771E14" w:rsidRDefault="00BF1EC4" w:rsidP="005A2A69">
      <w:pPr>
        <w:pStyle w:val="FootnoteText"/>
      </w:pPr>
      <w:r w:rsidRPr="00366F97">
        <w:rPr>
          <w:rStyle w:val="FootnoteReference"/>
        </w:rPr>
        <w:footnoteRef/>
      </w:r>
      <w:r>
        <w:t> </w:t>
      </w:r>
      <w:r>
        <w:tab/>
      </w:r>
      <w:r>
        <w:rPr>
          <w:i/>
        </w:rPr>
        <w:t xml:space="preserve">Application of Texas Utilities Electric Co. for </w:t>
      </w:r>
      <w:r w:rsidRPr="00150725">
        <w:rPr>
          <w:i/>
        </w:rPr>
        <w:t>Authority to Change Rates</w:t>
      </w:r>
      <w:r w:rsidRPr="00150725">
        <w:t xml:space="preserve">, Docket No. 9300, </w:t>
      </w:r>
      <w:r>
        <w:t xml:space="preserve">Examiner’s Report at 10, 17 P.U.C. Bull. </w:t>
      </w:r>
      <w:proofErr w:type="gramStart"/>
      <w:r>
        <w:t>at</w:t>
      </w:r>
      <w:proofErr w:type="gramEnd"/>
      <w:r>
        <w:t xml:space="preserve"> 2147; </w:t>
      </w:r>
      <w:r>
        <w:rPr>
          <w:i/>
        </w:rPr>
        <w:t xml:space="preserve">see also Entergy Gulf States, Inc. v. Public Utility Comm’n of </w:t>
      </w:r>
      <w:r w:rsidRPr="009638B6">
        <w:rPr>
          <w:i/>
        </w:rPr>
        <w:t>Texas</w:t>
      </w:r>
      <w:r>
        <w:rPr>
          <w:i/>
        </w:rPr>
        <w:t xml:space="preserve">, </w:t>
      </w:r>
      <w:r>
        <w:t>112 S.W.3d 208, 215 (Tex. App.—Austin 2003, pet. denied).</w:t>
      </w:r>
    </w:p>
  </w:footnote>
  <w:footnote w:id="35">
    <w:p w14:paraId="347C7D60" w14:textId="77777777" w:rsidR="00BF1EC4" w:rsidRDefault="00BF1EC4" w:rsidP="005A2A69">
      <w:pPr>
        <w:pStyle w:val="FootnoteText"/>
      </w:pPr>
      <w:r>
        <w:rPr>
          <w:rStyle w:val="FootnoteReference"/>
        </w:rPr>
        <w:footnoteRef/>
      </w:r>
      <w:r>
        <w:t xml:space="preserve"> </w:t>
      </w:r>
      <w:r>
        <w:tab/>
      </w:r>
      <w:proofErr w:type="gramStart"/>
      <w:r>
        <w:t>PFD at 44.</w:t>
      </w:r>
      <w:proofErr w:type="gramEnd"/>
      <w:r>
        <w:tab/>
      </w:r>
    </w:p>
  </w:footnote>
  <w:footnote w:id="36">
    <w:p w14:paraId="26E289B1" w14:textId="77777777" w:rsidR="00BF1EC4" w:rsidRPr="005014A8" w:rsidRDefault="00BF1EC4" w:rsidP="0028564D">
      <w:pPr>
        <w:pStyle w:val="FootnoteText"/>
        <w:keepNext/>
        <w:keepLines/>
      </w:pPr>
      <w:r w:rsidRPr="00150725">
        <w:rPr>
          <w:rStyle w:val="FootnoteReference"/>
        </w:rPr>
        <w:footnoteRef/>
      </w:r>
      <w:r>
        <w:t>  </w:t>
      </w:r>
      <w:r>
        <w:tab/>
      </w:r>
      <w:r w:rsidRPr="00150725">
        <w:t>Direct Tes</w:t>
      </w:r>
      <w:r>
        <w:t>timony of Paul W. Franklin at Section IV</w:t>
      </w:r>
      <w:r w:rsidRPr="00150725">
        <w:t>.</w:t>
      </w:r>
      <w:r>
        <w:t xml:space="preserve">  SWEPCO additionally supported the details of its review in response to discovery in the proceeding, which ultimately became additional evidence in its rebuttal case.  </w:t>
      </w:r>
      <w:r>
        <w:rPr>
          <w:i/>
        </w:rPr>
        <w:t xml:space="preserve">See </w:t>
      </w:r>
      <w:r>
        <w:t xml:space="preserve">SWEPCO’s response to CARD 2-24 (providing </w:t>
      </w:r>
      <w:proofErr w:type="gramStart"/>
      <w:r>
        <w:t>Dolet Hills</w:t>
      </w:r>
      <w:proofErr w:type="gramEnd"/>
      <w:r>
        <w:t xml:space="preserve"> capital improvement authorizations); SWEPCO’s response to OPUC 1-5 (providing S&amp;L Dolet Hills MATS compliance analysis).  </w:t>
      </w:r>
      <w:r>
        <w:rPr>
          <w:i/>
        </w:rPr>
        <w:t xml:space="preserve">See </w:t>
      </w:r>
      <w:r>
        <w:t>SWEPCO Ex. 47 at 23-24, Ex. PWF-3.</w:t>
      </w:r>
    </w:p>
  </w:footnote>
  <w:footnote w:id="37">
    <w:p w14:paraId="5BC91F85" w14:textId="77777777" w:rsidR="00BF1EC4" w:rsidRPr="007C32C8" w:rsidRDefault="00BF1EC4" w:rsidP="00D479C6">
      <w:pPr>
        <w:pStyle w:val="FootnoteText"/>
      </w:pPr>
      <w:r>
        <w:rPr>
          <w:rStyle w:val="FootnoteReference"/>
        </w:rPr>
        <w:footnoteRef/>
      </w:r>
      <w:r>
        <w:t xml:space="preserve"> </w:t>
      </w:r>
      <w:r>
        <w:tab/>
      </w:r>
      <w:proofErr w:type="gramStart"/>
      <w:r>
        <w:rPr>
          <w:i/>
        </w:rPr>
        <w:t>Id.</w:t>
      </w:r>
      <w:r>
        <w:t xml:space="preserve"> SWEPCO Ex. 11at 30, Ex. VMA-4.</w:t>
      </w:r>
      <w:proofErr w:type="gramEnd"/>
    </w:p>
  </w:footnote>
  <w:footnote w:id="38">
    <w:p w14:paraId="4DCB1173" w14:textId="77777777" w:rsidR="00BF1EC4" w:rsidRPr="009457BC" w:rsidRDefault="00BF1EC4" w:rsidP="00D479C6">
      <w:pPr>
        <w:pStyle w:val="FootnoteText"/>
      </w:pPr>
      <w:r>
        <w:rPr>
          <w:rStyle w:val="FootnoteReference"/>
        </w:rPr>
        <w:footnoteRef/>
      </w:r>
      <w:r>
        <w:t xml:space="preserve"> </w:t>
      </w:r>
      <w:r>
        <w:tab/>
        <w:t xml:space="preserve">In </w:t>
      </w:r>
      <w:r>
        <w:rPr>
          <w:i/>
        </w:rPr>
        <w:t>Entergy Texas, Inc. v. Public Utility Comm’n of Texas</w:t>
      </w:r>
      <w:r>
        <w:t xml:space="preserve">, 490 S.W.2d 224, 240 (Tex. App—2016, pet. denied), the court affirmed the Commission’s acceptance of a prima facie prudence case where the utility “submitted evidence of the costs it incurred to restore service to customers as quickly as possible after the ice storm and expert testimony that such expenses were reasonable and necessary to repair the damage and restore power.” </w:t>
      </w:r>
    </w:p>
  </w:footnote>
  <w:footnote w:id="39">
    <w:p w14:paraId="02694458" w14:textId="77777777" w:rsidR="00BF1EC4" w:rsidRDefault="00BF1EC4" w:rsidP="005A2A69">
      <w:pPr>
        <w:pStyle w:val="FootnoteText"/>
      </w:pPr>
      <w:r>
        <w:rPr>
          <w:rStyle w:val="FootnoteReference"/>
        </w:rPr>
        <w:footnoteRef/>
      </w:r>
      <w:r>
        <w:t xml:space="preserve"> </w:t>
      </w:r>
      <w:r>
        <w:tab/>
      </w:r>
      <w:proofErr w:type="gramStart"/>
      <w:r>
        <w:rPr>
          <w:i/>
        </w:rPr>
        <w:t xml:space="preserve">E.g., </w:t>
      </w:r>
      <w:r>
        <w:t>Sierra Club Exceptions at 13.</w:t>
      </w:r>
      <w:proofErr w:type="gramEnd"/>
    </w:p>
  </w:footnote>
  <w:footnote w:id="40">
    <w:p w14:paraId="1B6F9619" w14:textId="77777777" w:rsidR="00BF1EC4" w:rsidRDefault="00BF1EC4" w:rsidP="00D479C6">
      <w:pPr>
        <w:pStyle w:val="FootnoteText"/>
      </w:pPr>
      <w:r>
        <w:rPr>
          <w:rStyle w:val="FootnoteReference"/>
        </w:rPr>
        <w:footnoteRef/>
      </w:r>
      <w:r>
        <w:t xml:space="preserve"> </w:t>
      </w:r>
      <w:r>
        <w:tab/>
        <w:t>Tr. at 2141:13-16 (Strunk Cross) (June 15, 2017).</w:t>
      </w:r>
    </w:p>
  </w:footnote>
  <w:footnote w:id="41">
    <w:p w14:paraId="22DE046B" w14:textId="77777777" w:rsidR="00BF1EC4" w:rsidRPr="003C52AE" w:rsidRDefault="00BF1EC4" w:rsidP="005A2A69">
      <w:pPr>
        <w:pStyle w:val="FootnoteText"/>
      </w:pPr>
      <w:r>
        <w:rPr>
          <w:rStyle w:val="FootnoteReference"/>
        </w:rPr>
        <w:footnoteRef/>
      </w:r>
      <w:r>
        <w:t xml:space="preserve"> </w:t>
      </w:r>
      <w:r>
        <w:tab/>
      </w:r>
      <w:proofErr w:type="gramStart"/>
      <w:r>
        <w:rPr>
          <w:i/>
        </w:rPr>
        <w:t xml:space="preserve">See </w:t>
      </w:r>
      <w:r>
        <w:t>discussion in SWEPCO’s Response to Joint Objection and Motion to Strike at 3-5 (Jun. 2, 2017).</w:t>
      </w:r>
      <w:proofErr w:type="gramEnd"/>
    </w:p>
  </w:footnote>
  <w:footnote w:id="42">
    <w:p w14:paraId="3A5C445A" w14:textId="77777777" w:rsidR="00BF1EC4" w:rsidRPr="003C52AE" w:rsidRDefault="00BF1EC4" w:rsidP="005A2A69">
      <w:pPr>
        <w:pStyle w:val="FootnoteText"/>
      </w:pPr>
      <w:r>
        <w:rPr>
          <w:rStyle w:val="FootnoteReference"/>
        </w:rPr>
        <w:footnoteRef/>
      </w:r>
      <w:r>
        <w:t xml:space="preserve"> </w:t>
      </w:r>
      <w:r>
        <w:tab/>
      </w:r>
      <w:r>
        <w:rPr>
          <w:i/>
        </w:rPr>
        <w:t xml:space="preserve">See </w:t>
      </w:r>
      <w:r>
        <w:t>OPUC Ex. 26.</w:t>
      </w:r>
    </w:p>
  </w:footnote>
  <w:footnote w:id="43">
    <w:p w14:paraId="00B7157A" w14:textId="77777777" w:rsidR="00BF1EC4" w:rsidRPr="00565444" w:rsidRDefault="00BF1EC4" w:rsidP="005A2A69">
      <w:pPr>
        <w:pStyle w:val="FootnoteText"/>
      </w:pPr>
      <w:r w:rsidRPr="00565444">
        <w:rPr>
          <w:rStyle w:val="FootnoteReference"/>
        </w:rPr>
        <w:footnoteRef/>
      </w:r>
      <w:r w:rsidRPr="00565444">
        <w:t xml:space="preserve"> </w:t>
      </w:r>
      <w:r>
        <w:tab/>
      </w:r>
      <w:r w:rsidRPr="00565444">
        <w:t xml:space="preserve">Joint Objection and Motion to Strike </w:t>
      </w:r>
      <w:r w:rsidRPr="00DB6245">
        <w:t>at 10 (May 26, 2017).</w:t>
      </w:r>
    </w:p>
  </w:footnote>
  <w:footnote w:id="44">
    <w:p w14:paraId="0ABFA890" w14:textId="77777777" w:rsidR="00BF1EC4" w:rsidRDefault="00BF1EC4" w:rsidP="00D479C6">
      <w:pPr>
        <w:pStyle w:val="FootnoteText"/>
      </w:pPr>
      <w:r>
        <w:rPr>
          <w:rStyle w:val="FootnoteReference"/>
        </w:rPr>
        <w:footnoteRef/>
      </w:r>
      <w:r>
        <w:t xml:space="preserve"> </w:t>
      </w:r>
      <w:r>
        <w:tab/>
      </w:r>
      <w:proofErr w:type="gramStart"/>
      <w:r>
        <w:t>Tr. at 811-880 (June 8, 2017), Sierra Club Exs.</w:t>
      </w:r>
      <w:proofErr w:type="gramEnd"/>
      <w:r>
        <w:t xml:space="preserve"> </w:t>
      </w:r>
      <w:proofErr w:type="gramStart"/>
      <w:r>
        <w:t>35-38, 45.</w:t>
      </w:r>
      <w:proofErr w:type="gramEnd"/>
    </w:p>
  </w:footnote>
  <w:footnote w:id="45">
    <w:p w14:paraId="75B25B7A" w14:textId="77777777" w:rsidR="00BF1EC4" w:rsidRDefault="00BF1EC4" w:rsidP="00D479C6">
      <w:pPr>
        <w:pStyle w:val="FootnoteText"/>
      </w:pPr>
      <w:r>
        <w:rPr>
          <w:rStyle w:val="FootnoteReference"/>
        </w:rPr>
        <w:footnoteRef/>
      </w:r>
      <w:r>
        <w:t xml:space="preserve"> </w:t>
      </w:r>
      <w:r>
        <w:tab/>
      </w:r>
      <w:proofErr w:type="gramStart"/>
      <w:r>
        <w:t>Tr. at 1300-1320 (June 12, 2017), OPUC Exs.</w:t>
      </w:r>
      <w:proofErr w:type="gramEnd"/>
      <w:r>
        <w:t xml:space="preserve"> 19A, 19B, 20A, 20B, 21-22, 26-28.</w:t>
      </w:r>
    </w:p>
  </w:footnote>
  <w:footnote w:id="46">
    <w:p w14:paraId="566C4161" w14:textId="77777777" w:rsidR="00BF1EC4" w:rsidRDefault="00BF1EC4">
      <w:pPr>
        <w:pStyle w:val="FootnoteText"/>
      </w:pPr>
      <w:r>
        <w:rPr>
          <w:rStyle w:val="FootnoteReference"/>
        </w:rPr>
        <w:footnoteRef/>
      </w:r>
      <w:r>
        <w:t xml:space="preserve"> </w:t>
      </w:r>
      <w:r>
        <w:tab/>
        <w:t>Tr. at 2107-2149, 2162-2178, 2214-2245, 2250-2252 (June 15, 2017).</w:t>
      </w:r>
    </w:p>
  </w:footnote>
  <w:footnote w:id="47">
    <w:p w14:paraId="1215179C" w14:textId="77777777" w:rsidR="00BF1EC4" w:rsidRPr="00BD2D8A" w:rsidRDefault="00BF1EC4" w:rsidP="00D479C6">
      <w:pPr>
        <w:pStyle w:val="FootnoteText"/>
      </w:pPr>
      <w:r>
        <w:rPr>
          <w:rStyle w:val="FootnoteReference"/>
        </w:rPr>
        <w:footnoteRef/>
      </w:r>
      <w:r>
        <w:t xml:space="preserve"> </w:t>
      </w:r>
      <w:r>
        <w:tab/>
      </w:r>
      <w:proofErr w:type="gramStart"/>
      <w:r>
        <w:rPr>
          <w:i/>
        </w:rPr>
        <w:t>City of Corpus Christi v. Public Utility Comm’n of Texas</w:t>
      </w:r>
      <w:r>
        <w:t>, 51 S.W.3d 231, 262 (Tex. 2001).</w:t>
      </w:r>
      <w:proofErr w:type="gramEnd"/>
    </w:p>
  </w:footnote>
  <w:footnote w:id="48">
    <w:p w14:paraId="4E376854" w14:textId="77777777" w:rsidR="00BF1EC4" w:rsidRPr="007239ED" w:rsidRDefault="00BF1EC4" w:rsidP="00D479C6">
      <w:pPr>
        <w:pStyle w:val="FootnoteText"/>
      </w:pPr>
      <w:r>
        <w:rPr>
          <w:rStyle w:val="FootnoteReference"/>
        </w:rPr>
        <w:footnoteRef/>
      </w:r>
      <w:r>
        <w:t xml:space="preserve"> </w:t>
      </w:r>
      <w:r>
        <w:tab/>
      </w:r>
      <w:r>
        <w:rPr>
          <w:i/>
        </w:rPr>
        <w:t xml:space="preserve">Id. </w:t>
      </w:r>
      <w:r>
        <w:t>at 262-263.</w:t>
      </w:r>
    </w:p>
  </w:footnote>
  <w:footnote w:id="49">
    <w:p w14:paraId="3EAA423F" w14:textId="77777777" w:rsidR="00BF1EC4" w:rsidRDefault="00BF1EC4" w:rsidP="005A2A69">
      <w:pPr>
        <w:pStyle w:val="FootnoteText"/>
      </w:pPr>
      <w:r>
        <w:rPr>
          <w:rStyle w:val="FootnoteReference"/>
        </w:rPr>
        <w:footnoteRef/>
      </w:r>
      <w:r>
        <w:t xml:space="preserve"> </w:t>
      </w:r>
      <w:r>
        <w:tab/>
      </w:r>
      <w:proofErr w:type="gramStart"/>
      <w:r>
        <w:t>Sierra Club Exceptions at 26.</w:t>
      </w:r>
      <w:proofErr w:type="gramEnd"/>
    </w:p>
  </w:footnote>
  <w:footnote w:id="50">
    <w:p w14:paraId="24BC3BA9" w14:textId="77777777" w:rsidR="00BF1EC4" w:rsidRDefault="00BF1EC4" w:rsidP="00F07275">
      <w:pPr>
        <w:pStyle w:val="FootnoteText"/>
      </w:pPr>
      <w:r w:rsidRPr="0017782F">
        <w:rPr>
          <w:rStyle w:val="FootnoteReference"/>
        </w:rPr>
        <w:footnoteRef/>
      </w:r>
      <w:r w:rsidRPr="0017782F">
        <w:t xml:space="preserve"> </w:t>
      </w:r>
      <w:r w:rsidRPr="0017782F">
        <w:tab/>
      </w:r>
      <w:proofErr w:type="gramStart"/>
      <w:r w:rsidRPr="0017782F">
        <w:t>PFD at 48.</w:t>
      </w:r>
      <w:proofErr w:type="gramEnd"/>
    </w:p>
  </w:footnote>
  <w:footnote w:id="51">
    <w:p w14:paraId="644994E4" w14:textId="77777777" w:rsidR="00BF1EC4" w:rsidRDefault="00BF1EC4" w:rsidP="005A2A69">
      <w:pPr>
        <w:pStyle w:val="FootnoteText"/>
      </w:pPr>
      <w:r>
        <w:rPr>
          <w:rStyle w:val="FootnoteReference"/>
        </w:rPr>
        <w:footnoteRef/>
      </w:r>
      <w:r>
        <w:t xml:space="preserve"> </w:t>
      </w:r>
      <w:r>
        <w:tab/>
      </w:r>
      <w:proofErr w:type="gramStart"/>
      <w:r>
        <w:t>PFD at 41.</w:t>
      </w:r>
      <w:proofErr w:type="gramEnd"/>
    </w:p>
  </w:footnote>
  <w:footnote w:id="52">
    <w:p w14:paraId="75E1C824" w14:textId="77777777" w:rsidR="00BF1EC4" w:rsidRPr="004421B8" w:rsidRDefault="00BF1EC4" w:rsidP="005A2A69">
      <w:pPr>
        <w:pStyle w:val="FootnoteText"/>
      </w:pPr>
      <w:r>
        <w:rPr>
          <w:rStyle w:val="FootnoteReference"/>
        </w:rPr>
        <w:footnoteRef/>
      </w:r>
      <w:r>
        <w:t xml:space="preserve"> </w:t>
      </w:r>
      <w:r>
        <w:tab/>
        <w:t xml:space="preserve">OPUC Exceptions at 9; </w:t>
      </w:r>
      <w:r>
        <w:rPr>
          <w:i/>
        </w:rPr>
        <w:t xml:space="preserve">see </w:t>
      </w:r>
      <w:r>
        <w:t>PFD at 36-37.</w:t>
      </w:r>
    </w:p>
  </w:footnote>
  <w:footnote w:id="53">
    <w:p w14:paraId="71C7FAB2" w14:textId="77777777" w:rsidR="00BF1EC4" w:rsidRPr="00022C62" w:rsidRDefault="00BF1EC4" w:rsidP="005A2A69">
      <w:pPr>
        <w:pStyle w:val="FootnoteText"/>
      </w:pPr>
      <w:r>
        <w:rPr>
          <w:rStyle w:val="FootnoteReference"/>
        </w:rPr>
        <w:footnoteRef/>
      </w:r>
      <w:r>
        <w:t xml:space="preserve"> </w:t>
      </w:r>
      <w:r>
        <w:tab/>
      </w:r>
      <w:r>
        <w:rPr>
          <w:i/>
        </w:rPr>
        <w:t xml:space="preserve">E.g., </w:t>
      </w:r>
      <w:r>
        <w:t>Tr. at 2190:19-2192:5 (Strunk Supplemental Rebuttal) (June 15, 2017).</w:t>
      </w:r>
    </w:p>
  </w:footnote>
  <w:footnote w:id="54">
    <w:p w14:paraId="1FE974FA" w14:textId="77777777" w:rsidR="00BF1EC4" w:rsidRDefault="00BF1EC4" w:rsidP="005A2A69">
      <w:pPr>
        <w:pStyle w:val="FootnoteText"/>
      </w:pPr>
      <w:r>
        <w:rPr>
          <w:rStyle w:val="FootnoteReference"/>
        </w:rPr>
        <w:footnoteRef/>
      </w:r>
      <w:r>
        <w:t xml:space="preserve"> </w:t>
      </w:r>
      <w:r>
        <w:tab/>
        <w:t>Tr. at 2204:22-2205:11, 2208:23-2209:18 (Strunk Supplemental Rebuttal) (June 15, 2017).</w:t>
      </w:r>
    </w:p>
  </w:footnote>
  <w:footnote w:id="55">
    <w:p w14:paraId="5A396D77" w14:textId="77777777" w:rsidR="00BF1EC4" w:rsidRDefault="00BF1EC4" w:rsidP="005A2A69">
      <w:pPr>
        <w:pStyle w:val="FootnoteText"/>
      </w:pPr>
      <w:r>
        <w:rPr>
          <w:rStyle w:val="FootnoteReference"/>
        </w:rPr>
        <w:footnoteRef/>
      </w:r>
      <w:r>
        <w:t xml:space="preserve"> </w:t>
      </w:r>
      <w:r>
        <w:tab/>
        <w:t>SWEPCO Ex. 48 at 38-40; Tr. at 1301:21-1302:2 (Woodruff Supplemental Direct) (June 12, 2017); Tr. at 2205:2-5 (Strunk Supplemental Rebuttal) (June 15, 2017).  The reasonable contemporaneous information used in Mr. Strunk’s other gas price sensitivities are explained in his rebuttal testimony.  SWEPCO Ex. 48 at 40-41.</w:t>
      </w:r>
    </w:p>
  </w:footnote>
  <w:footnote w:id="56">
    <w:p w14:paraId="6829557B" w14:textId="77777777" w:rsidR="00BF1EC4" w:rsidRPr="00FD756B" w:rsidRDefault="00BF1EC4" w:rsidP="005A2A69">
      <w:pPr>
        <w:pStyle w:val="FootnoteText"/>
      </w:pPr>
      <w:r>
        <w:rPr>
          <w:rStyle w:val="FootnoteReference"/>
        </w:rPr>
        <w:footnoteRef/>
      </w:r>
      <w:r>
        <w:t xml:space="preserve"> </w:t>
      </w:r>
      <w:r>
        <w:tab/>
        <w:t>42 U.S.C. 7135(a</w:t>
      </w:r>
      <w:proofErr w:type="gramStart"/>
      <w:r>
        <w:t>)(</w:t>
      </w:r>
      <w:proofErr w:type="gramEnd"/>
      <w:r>
        <w:t>1); i</w:t>
      </w:r>
      <w:r>
        <w:rPr>
          <w:i/>
        </w:rPr>
        <w:t xml:space="preserve">d. </w:t>
      </w:r>
      <w:r>
        <w:t>at section 7135(d) (requiring independence of EIA).</w:t>
      </w:r>
    </w:p>
  </w:footnote>
  <w:footnote w:id="57">
    <w:p w14:paraId="14C13511" w14:textId="77777777" w:rsidR="00BF1EC4" w:rsidRDefault="00BF1EC4" w:rsidP="005A2A69">
      <w:pPr>
        <w:pStyle w:val="FootnoteText"/>
      </w:pPr>
      <w:r>
        <w:rPr>
          <w:rStyle w:val="FootnoteReference"/>
        </w:rPr>
        <w:footnoteRef/>
      </w:r>
      <w:r>
        <w:t xml:space="preserve"> </w:t>
      </w:r>
      <w:r>
        <w:tab/>
      </w:r>
      <w:r>
        <w:rPr>
          <w:i/>
        </w:rPr>
        <w:t xml:space="preserve">See </w:t>
      </w:r>
      <w:r>
        <w:t>PFD at 36; Tr. at 2205:2-2206:1 (Strunk Supplemental Rebuttal) (June 15, 2017).</w:t>
      </w:r>
    </w:p>
  </w:footnote>
  <w:footnote w:id="58">
    <w:p w14:paraId="531D776F" w14:textId="77777777" w:rsidR="00BF1EC4" w:rsidRDefault="00BF1EC4" w:rsidP="005A2A69">
      <w:pPr>
        <w:pStyle w:val="FootnoteText"/>
      </w:pPr>
      <w:r w:rsidRPr="00595ACC">
        <w:rPr>
          <w:rStyle w:val="FootnoteReference"/>
        </w:rPr>
        <w:footnoteRef/>
      </w:r>
      <w:r w:rsidRPr="00595ACC">
        <w:t xml:space="preserve"> </w:t>
      </w:r>
      <w:r w:rsidRPr="00595ACC">
        <w:tab/>
      </w:r>
      <w:r w:rsidRPr="00E9474C">
        <w:rPr>
          <w:i/>
        </w:rPr>
        <w:t>See</w:t>
      </w:r>
      <w:r w:rsidRPr="00E9474C">
        <w:t xml:space="preserve"> NERA and NERC Gas Price Forecasts for Henry Hub Base Cases, SWEPCO Ex. 76 (lower red line).</w:t>
      </w:r>
    </w:p>
  </w:footnote>
  <w:footnote w:id="59">
    <w:p w14:paraId="2C7BC840" w14:textId="77777777" w:rsidR="00BF1EC4" w:rsidRPr="006D43A0" w:rsidRDefault="00BF1EC4" w:rsidP="005A2A69">
      <w:pPr>
        <w:pStyle w:val="FootnoteText"/>
      </w:pPr>
      <w:r w:rsidRPr="00595ACC">
        <w:rPr>
          <w:rStyle w:val="FootnoteReference"/>
        </w:rPr>
        <w:footnoteRef/>
      </w:r>
      <w:r w:rsidRPr="00595ACC">
        <w:t xml:space="preserve"> </w:t>
      </w:r>
      <w:r w:rsidRPr="00595ACC">
        <w:tab/>
        <w:t xml:space="preserve">Highly Sensitive Attachment 1 to SWEPCO’s response to </w:t>
      </w:r>
      <w:r w:rsidRPr="00E9474C">
        <w:t>OPUC 16-2, OPUC Ex. 20B.</w:t>
      </w:r>
    </w:p>
  </w:footnote>
  <w:footnote w:id="60">
    <w:p w14:paraId="23BDFA72" w14:textId="77777777" w:rsidR="00BF1EC4" w:rsidRDefault="00BF1EC4" w:rsidP="005A2A69">
      <w:pPr>
        <w:pStyle w:val="FootnoteText"/>
      </w:pPr>
      <w:r>
        <w:rPr>
          <w:rStyle w:val="FootnoteReference"/>
        </w:rPr>
        <w:footnoteRef/>
      </w:r>
      <w:r>
        <w:t xml:space="preserve"> </w:t>
      </w:r>
      <w:r>
        <w:tab/>
        <w:t xml:space="preserve">OPUC Exceptions at 9-10.  </w:t>
      </w:r>
    </w:p>
  </w:footnote>
  <w:footnote w:id="61">
    <w:p w14:paraId="4A3DADEC" w14:textId="77777777" w:rsidR="00BF1EC4" w:rsidRPr="006F3082" w:rsidRDefault="00BF1EC4" w:rsidP="005A2A69">
      <w:pPr>
        <w:pStyle w:val="FootnoteText"/>
      </w:pPr>
      <w:r>
        <w:rPr>
          <w:rStyle w:val="FootnoteReference"/>
        </w:rPr>
        <w:footnoteRef/>
      </w:r>
      <w:r>
        <w:t xml:space="preserve"> </w:t>
      </w:r>
      <w:r>
        <w:tab/>
      </w:r>
      <w:r>
        <w:rPr>
          <w:i/>
        </w:rPr>
        <w:t xml:space="preserve">See </w:t>
      </w:r>
      <w:r>
        <w:t>PFD at 38-39.</w:t>
      </w:r>
    </w:p>
  </w:footnote>
  <w:footnote w:id="62">
    <w:p w14:paraId="3B460DA7" w14:textId="77777777" w:rsidR="00BF1EC4" w:rsidRDefault="00BF1EC4" w:rsidP="005A2A69">
      <w:pPr>
        <w:pStyle w:val="FootnoteText"/>
      </w:pPr>
      <w:r w:rsidRPr="00965036">
        <w:rPr>
          <w:rStyle w:val="FootnoteReference"/>
        </w:rPr>
        <w:footnoteRef/>
      </w:r>
      <w:r w:rsidRPr="00965036">
        <w:t xml:space="preserve"> </w:t>
      </w:r>
      <w:r>
        <w:tab/>
        <w:t>SWEPCO Ex. 48 at 31-33; Rebuttal Testimony of A. Naim Hakimi, SWEPCO Ex. 51 at 25-27; Rebuttal Testimony of Mark A. Becker, SWEPCO Ex. 46 at 2-6.</w:t>
      </w:r>
    </w:p>
  </w:footnote>
  <w:footnote w:id="63">
    <w:p w14:paraId="09868E1F" w14:textId="77777777" w:rsidR="00BF1EC4" w:rsidRPr="00BA09B7" w:rsidRDefault="00BF1EC4" w:rsidP="005A2A69">
      <w:pPr>
        <w:pStyle w:val="FootnoteText"/>
      </w:pPr>
      <w:r w:rsidRPr="00BA09B7">
        <w:rPr>
          <w:rStyle w:val="FootnoteReference"/>
        </w:rPr>
        <w:footnoteRef/>
      </w:r>
      <w:r w:rsidRPr="00BA09B7">
        <w:t xml:space="preserve"> </w:t>
      </w:r>
      <w:r>
        <w:tab/>
        <w:t>Tr. at 2146:3-16 (Strunk Cross) (June 15, 2017).</w:t>
      </w:r>
    </w:p>
  </w:footnote>
  <w:footnote w:id="64">
    <w:p w14:paraId="0A06F58F" w14:textId="77777777" w:rsidR="00BF1EC4" w:rsidRPr="00AC2E31" w:rsidRDefault="00BF1EC4" w:rsidP="005A2A69">
      <w:pPr>
        <w:pStyle w:val="FootnoteText"/>
      </w:pPr>
      <w:r w:rsidRPr="00C42AD6">
        <w:rPr>
          <w:rStyle w:val="FootnoteReference"/>
        </w:rPr>
        <w:footnoteRef/>
      </w:r>
      <w:r w:rsidRPr="00C42AD6">
        <w:t xml:space="preserve"> </w:t>
      </w:r>
      <w:r>
        <w:tab/>
      </w:r>
      <w:r w:rsidRPr="00C42AD6">
        <w:t>SWEPCO Ex. 48 at 3</w:t>
      </w:r>
      <w:r w:rsidRPr="00AC2E31">
        <w:t>1.</w:t>
      </w:r>
    </w:p>
  </w:footnote>
  <w:footnote w:id="65">
    <w:p w14:paraId="48072E90" w14:textId="77777777" w:rsidR="00BF1EC4" w:rsidRDefault="00BF1EC4" w:rsidP="005A2A69">
      <w:pPr>
        <w:pStyle w:val="FootnoteText"/>
      </w:pPr>
      <w:r>
        <w:rPr>
          <w:rStyle w:val="FootnoteReference"/>
        </w:rPr>
        <w:footnoteRef/>
      </w:r>
      <w:r>
        <w:t xml:space="preserve"> </w:t>
      </w:r>
      <w:r>
        <w:tab/>
        <w:t>SWEPCO Ex. 51 at 26.</w:t>
      </w:r>
    </w:p>
  </w:footnote>
  <w:footnote w:id="66">
    <w:p w14:paraId="56922C51" w14:textId="77777777" w:rsidR="00BF1EC4" w:rsidRDefault="00BF1EC4" w:rsidP="005A2A69">
      <w:pPr>
        <w:pStyle w:val="FootnoteText"/>
      </w:pPr>
      <w:r w:rsidRPr="00AC2E31">
        <w:rPr>
          <w:rStyle w:val="FootnoteReference"/>
        </w:rPr>
        <w:footnoteRef/>
      </w:r>
      <w:r w:rsidRPr="00AC2E31">
        <w:t xml:space="preserve"> </w:t>
      </w:r>
      <w:r>
        <w:tab/>
      </w:r>
      <w:r w:rsidRPr="00AC2E31">
        <w:t>SWEPCO Ex. 51 at 26.</w:t>
      </w:r>
    </w:p>
  </w:footnote>
  <w:footnote w:id="67">
    <w:p w14:paraId="40BB0FBE" w14:textId="77777777" w:rsidR="00BF1EC4" w:rsidRDefault="00BF1EC4" w:rsidP="005A2A69">
      <w:pPr>
        <w:pStyle w:val="FootnoteText"/>
      </w:pPr>
      <w:r>
        <w:rPr>
          <w:rStyle w:val="FootnoteReference"/>
        </w:rPr>
        <w:footnoteRef/>
      </w:r>
      <w:r>
        <w:t xml:space="preserve"> </w:t>
      </w:r>
      <w:r>
        <w:tab/>
      </w:r>
      <w:r w:rsidRPr="009C09CF">
        <w:t>SWEPCO Ex. 51 at 26</w:t>
      </w:r>
      <w:r>
        <w:t xml:space="preserve">-27; SWEPCO Ex. 46 at 5-6.  </w:t>
      </w:r>
    </w:p>
  </w:footnote>
  <w:footnote w:id="68">
    <w:p w14:paraId="6357D093" w14:textId="77777777" w:rsidR="00BF1EC4" w:rsidRPr="009C09CF" w:rsidRDefault="00BF1EC4" w:rsidP="005A2A69">
      <w:pPr>
        <w:pStyle w:val="FootnoteText"/>
      </w:pPr>
      <w:r w:rsidRPr="009C09CF">
        <w:rPr>
          <w:rStyle w:val="FootnoteReference"/>
        </w:rPr>
        <w:footnoteRef/>
      </w:r>
      <w:r w:rsidRPr="009C09CF">
        <w:t xml:space="preserve"> </w:t>
      </w:r>
      <w:r>
        <w:tab/>
        <w:t>SWEPCO Ex. 48 at 33.</w:t>
      </w:r>
    </w:p>
  </w:footnote>
  <w:footnote w:id="69">
    <w:p w14:paraId="3AE98E77" w14:textId="77777777" w:rsidR="00BF1EC4" w:rsidRDefault="00BF1EC4" w:rsidP="005A2A69">
      <w:pPr>
        <w:pStyle w:val="FootnoteText"/>
      </w:pPr>
      <w:r>
        <w:rPr>
          <w:rStyle w:val="FootnoteReference"/>
        </w:rPr>
        <w:footnoteRef/>
      </w:r>
      <w:r>
        <w:t xml:space="preserve"> </w:t>
      </w:r>
      <w:r>
        <w:tab/>
        <w:t>Tr. at 701:17-19, 704:15-705:7, 706:2-707:8 (Wilson Cross) (June 8, 2017).</w:t>
      </w:r>
    </w:p>
  </w:footnote>
  <w:footnote w:id="70">
    <w:p w14:paraId="2D0B36C2" w14:textId="77777777" w:rsidR="00BF1EC4" w:rsidRDefault="00BF1EC4" w:rsidP="005A2A69">
      <w:pPr>
        <w:pStyle w:val="FootnoteText"/>
      </w:pPr>
      <w:r>
        <w:rPr>
          <w:rStyle w:val="FootnoteReference"/>
        </w:rPr>
        <w:footnoteRef/>
      </w:r>
      <w:r>
        <w:t xml:space="preserve"> </w:t>
      </w:r>
      <w:r>
        <w:tab/>
        <w:t>Tr. at 2194:7-18 (Strunk Supplemental Rebuttal) (June 15, 2017).</w:t>
      </w:r>
    </w:p>
  </w:footnote>
  <w:footnote w:id="71">
    <w:p w14:paraId="22408DEA" w14:textId="77777777" w:rsidR="00BF1EC4" w:rsidRDefault="00BF1EC4" w:rsidP="005A2A69">
      <w:pPr>
        <w:pStyle w:val="FootnoteText"/>
      </w:pPr>
      <w:r>
        <w:rPr>
          <w:rStyle w:val="FootnoteReference"/>
        </w:rPr>
        <w:footnoteRef/>
      </w:r>
      <w:r>
        <w:t xml:space="preserve"> </w:t>
      </w:r>
      <w:r>
        <w:tab/>
        <w:t>Tr. at 2194:21-2195:14 (Strunk Supplemental Rebuttal) (June 15, 2017).  Ms. Wilson agrees that sunk costs related to the plant itself should be considered in the analysis.  Tr. at 849:19-22 (Wilson Cross) (June 8, 2017).</w:t>
      </w:r>
    </w:p>
  </w:footnote>
  <w:footnote w:id="72">
    <w:p w14:paraId="219110E4" w14:textId="77777777" w:rsidR="00BF1EC4" w:rsidRDefault="00BF1EC4" w:rsidP="005A2A69">
      <w:pPr>
        <w:pStyle w:val="FootnoteText"/>
      </w:pPr>
      <w:r>
        <w:rPr>
          <w:rStyle w:val="FootnoteReference"/>
        </w:rPr>
        <w:footnoteRef/>
      </w:r>
      <w:r>
        <w:t xml:space="preserve"> </w:t>
      </w:r>
      <w:r>
        <w:tab/>
        <w:t>Tr. at 2194:4-20 (Strunk Supplemental Rebuttal) (June 15, 2017).</w:t>
      </w:r>
    </w:p>
  </w:footnote>
  <w:footnote w:id="73">
    <w:p w14:paraId="5541CE39" w14:textId="77777777" w:rsidR="00BF1EC4" w:rsidRPr="005F16A2" w:rsidRDefault="00BF1EC4" w:rsidP="005A2A69">
      <w:pPr>
        <w:pStyle w:val="FootnoteText"/>
      </w:pPr>
      <w:r>
        <w:rPr>
          <w:rStyle w:val="FootnoteReference"/>
        </w:rPr>
        <w:footnoteRef/>
      </w:r>
      <w:r>
        <w:t xml:space="preserve"> </w:t>
      </w:r>
      <w:r>
        <w:tab/>
      </w:r>
      <w:r>
        <w:rPr>
          <w:i/>
        </w:rPr>
        <w:t xml:space="preserve">See </w:t>
      </w:r>
      <w:r>
        <w:t>SWEPCO Reply Brief at 12-13.</w:t>
      </w:r>
    </w:p>
  </w:footnote>
  <w:footnote w:id="74">
    <w:p w14:paraId="589140EA" w14:textId="77777777" w:rsidR="00BF1EC4" w:rsidRPr="00336C0E" w:rsidRDefault="00BF1EC4" w:rsidP="005A2A69">
      <w:pPr>
        <w:pStyle w:val="FootnoteText"/>
      </w:pPr>
      <w:r w:rsidRPr="00595ACC">
        <w:rPr>
          <w:rStyle w:val="FootnoteReference"/>
        </w:rPr>
        <w:footnoteRef/>
      </w:r>
      <w:r w:rsidRPr="00595ACC">
        <w:t xml:space="preserve"> </w:t>
      </w:r>
      <w:r w:rsidRPr="00595ACC">
        <w:tab/>
      </w:r>
      <w:r w:rsidRPr="00595ACC">
        <w:rPr>
          <w:i/>
        </w:rPr>
        <w:t xml:space="preserve">See </w:t>
      </w:r>
      <w:r w:rsidRPr="00E9474C">
        <w:t>PFD at 27</w:t>
      </w:r>
      <w:r w:rsidRPr="00595ACC">
        <w:t>.</w:t>
      </w:r>
    </w:p>
  </w:footnote>
  <w:footnote w:id="75">
    <w:p w14:paraId="5774338A" w14:textId="77777777" w:rsidR="00BF1EC4" w:rsidRDefault="00BF1EC4" w:rsidP="005A2A69">
      <w:pPr>
        <w:pStyle w:val="FootnoteText"/>
      </w:pPr>
      <w:r>
        <w:rPr>
          <w:rStyle w:val="FootnoteReference"/>
        </w:rPr>
        <w:footnoteRef/>
      </w:r>
      <w:r>
        <w:t xml:space="preserve"> </w:t>
      </w:r>
      <w:r>
        <w:tab/>
        <w:t>Tr. at 824:9-12 (Wilson Supplemental Direct) (June 8, 2017).</w:t>
      </w:r>
    </w:p>
  </w:footnote>
  <w:footnote w:id="76">
    <w:p w14:paraId="1FEA0981" w14:textId="77777777" w:rsidR="00BF1EC4" w:rsidRDefault="00BF1EC4" w:rsidP="005A2A69">
      <w:pPr>
        <w:pStyle w:val="FootnoteText"/>
      </w:pPr>
      <w:r>
        <w:rPr>
          <w:rStyle w:val="FootnoteReference"/>
        </w:rPr>
        <w:footnoteRef/>
      </w:r>
      <w:r>
        <w:t xml:space="preserve"> </w:t>
      </w:r>
      <w:r>
        <w:tab/>
        <w:t>Tr. at 2190:19-2192:5 (Strunk Supplemental Rebuttal) (June 15, 2017).</w:t>
      </w:r>
    </w:p>
  </w:footnote>
  <w:footnote w:id="77">
    <w:p w14:paraId="707B6191" w14:textId="77777777" w:rsidR="00BF1EC4" w:rsidRDefault="00BF1EC4" w:rsidP="005A2A69">
      <w:pPr>
        <w:pStyle w:val="FootnoteText"/>
      </w:pPr>
      <w:r>
        <w:rPr>
          <w:rStyle w:val="FootnoteReference"/>
        </w:rPr>
        <w:footnoteRef/>
      </w:r>
      <w:r>
        <w:t xml:space="preserve"> </w:t>
      </w:r>
      <w:r>
        <w:tab/>
        <w:t>Tr. at 2192: 20-24 (Strunk Supplemental Rebuttal) (June 15, 2017).</w:t>
      </w:r>
    </w:p>
  </w:footnote>
  <w:footnote w:id="78">
    <w:p w14:paraId="485AF15C" w14:textId="77777777" w:rsidR="00BF1EC4" w:rsidRDefault="00BF1EC4" w:rsidP="005A2A69">
      <w:pPr>
        <w:pStyle w:val="FootnoteText"/>
      </w:pPr>
      <w:r>
        <w:rPr>
          <w:rStyle w:val="FootnoteReference"/>
        </w:rPr>
        <w:footnoteRef/>
      </w:r>
      <w:r>
        <w:t xml:space="preserve"> </w:t>
      </w:r>
      <w:r>
        <w:tab/>
        <w:t>SWEPCO Ex. 48 at 41.  Beyond 2026, Mr. Strunk increases lignite costs at the rate of inflation.</w:t>
      </w:r>
    </w:p>
  </w:footnote>
  <w:footnote w:id="79">
    <w:p w14:paraId="63EA2FA9" w14:textId="77777777" w:rsidR="00BF1EC4" w:rsidRDefault="00BF1EC4" w:rsidP="005A2A69">
      <w:pPr>
        <w:pStyle w:val="FootnoteText"/>
      </w:pPr>
      <w:r>
        <w:rPr>
          <w:rStyle w:val="FootnoteReference"/>
        </w:rPr>
        <w:footnoteRef/>
      </w:r>
      <w:r>
        <w:t xml:space="preserve"> </w:t>
      </w:r>
      <w:r>
        <w:tab/>
        <w:t>Tr. at 831:10-13 (Wilson Supplemental Direct) (June 8, 2017).</w:t>
      </w:r>
    </w:p>
  </w:footnote>
  <w:footnote w:id="80">
    <w:p w14:paraId="2A334D0C" w14:textId="77777777" w:rsidR="00BF1EC4" w:rsidRDefault="00BF1EC4" w:rsidP="005A2A69">
      <w:pPr>
        <w:pStyle w:val="FootnoteText"/>
      </w:pPr>
      <w:r>
        <w:rPr>
          <w:rStyle w:val="FootnoteReference"/>
        </w:rPr>
        <w:footnoteRef/>
      </w:r>
      <w:r>
        <w:t xml:space="preserve"> </w:t>
      </w:r>
      <w:r>
        <w:tab/>
        <w:t>Tr. at 833:4-10 (Wilson Supplemental Direct) (June 8, 2017).</w:t>
      </w:r>
    </w:p>
  </w:footnote>
  <w:footnote w:id="81">
    <w:p w14:paraId="0D1F995C" w14:textId="77777777" w:rsidR="00BF1EC4" w:rsidRDefault="00BF1EC4" w:rsidP="005A2A69">
      <w:pPr>
        <w:pStyle w:val="FootnoteText"/>
      </w:pPr>
      <w:r>
        <w:rPr>
          <w:rStyle w:val="FootnoteReference"/>
        </w:rPr>
        <w:footnoteRef/>
      </w:r>
      <w:r>
        <w:t xml:space="preserve"> </w:t>
      </w:r>
      <w:r>
        <w:tab/>
        <w:t>Tr. at 2182:7-9, 2182:20- 2183:8 (Strunk Supplemental Rebuttal) (June 15, 2017).</w:t>
      </w:r>
    </w:p>
  </w:footnote>
  <w:footnote w:id="82">
    <w:p w14:paraId="104B034A" w14:textId="77777777" w:rsidR="00BF1EC4" w:rsidRDefault="00BF1EC4" w:rsidP="005A2A69">
      <w:pPr>
        <w:pStyle w:val="FootnoteText"/>
      </w:pPr>
      <w:r>
        <w:rPr>
          <w:rStyle w:val="FootnoteReference"/>
        </w:rPr>
        <w:footnoteRef/>
      </w:r>
      <w:r>
        <w:t xml:space="preserve"> </w:t>
      </w:r>
      <w:r>
        <w:tab/>
        <w:t>Dolet Hills Lignite Costs Comparison of 2011 Budget to Historical EIA-923 and FERC-423, SWEPCO Ex. 74; Tr. at 2183:18-2185:8, 2187:22-2188:6 (Strunk Supplemental Rebuttal) (June 15, 2017).</w:t>
      </w:r>
    </w:p>
  </w:footnote>
  <w:footnote w:id="83">
    <w:p w14:paraId="28C9EF72" w14:textId="77777777" w:rsidR="00BF1EC4" w:rsidRDefault="00BF1EC4" w:rsidP="005A2A69">
      <w:pPr>
        <w:pStyle w:val="FootnoteText"/>
      </w:pPr>
      <w:r>
        <w:rPr>
          <w:rStyle w:val="FootnoteReference"/>
        </w:rPr>
        <w:footnoteRef/>
      </w:r>
      <w:r>
        <w:t xml:space="preserve"> </w:t>
      </w:r>
      <w:r>
        <w:tab/>
        <w:t>Tr. at 2182:10-15 (Strunk Supplemental Rebuttal) (June 15, 2017).</w:t>
      </w:r>
    </w:p>
  </w:footnote>
  <w:footnote w:id="84">
    <w:p w14:paraId="65F3BFC7" w14:textId="77777777" w:rsidR="00BF1EC4" w:rsidRDefault="00BF1EC4" w:rsidP="005A2A69">
      <w:pPr>
        <w:pStyle w:val="FootnoteText"/>
      </w:pPr>
      <w:r>
        <w:rPr>
          <w:rStyle w:val="FootnoteReference"/>
        </w:rPr>
        <w:footnoteRef/>
      </w:r>
      <w:r>
        <w:t xml:space="preserve"> </w:t>
      </w:r>
      <w:r>
        <w:tab/>
        <w:t xml:space="preserve">Tr. at 2246-2247 (Strunk Redirect) (June 15, 2017). </w:t>
      </w:r>
    </w:p>
  </w:footnote>
  <w:footnote w:id="85">
    <w:p w14:paraId="53112D8D" w14:textId="77777777" w:rsidR="00BF1EC4" w:rsidRDefault="00BF1EC4" w:rsidP="005A2A69">
      <w:pPr>
        <w:pStyle w:val="FootnoteText"/>
      </w:pPr>
      <w:r>
        <w:rPr>
          <w:rStyle w:val="FootnoteReference"/>
        </w:rPr>
        <w:footnoteRef/>
      </w:r>
      <w:r>
        <w:t xml:space="preserve"> </w:t>
      </w:r>
      <w:r>
        <w:tab/>
        <w:t>Tr. at 2188:12-2191:18 (Strunk Supplemental Rebuttal) (June 15, 2017).</w:t>
      </w:r>
    </w:p>
  </w:footnote>
  <w:footnote w:id="86">
    <w:p w14:paraId="550D6884" w14:textId="77777777" w:rsidR="00BF1EC4" w:rsidRDefault="00BF1EC4" w:rsidP="005A2A69">
      <w:pPr>
        <w:pStyle w:val="FootnoteText"/>
      </w:pPr>
      <w:r>
        <w:rPr>
          <w:rStyle w:val="FootnoteReference"/>
        </w:rPr>
        <w:footnoteRef/>
      </w:r>
      <w:r>
        <w:t xml:space="preserve"> </w:t>
      </w:r>
      <w:r>
        <w:tab/>
        <w:t>Tr. at 2198:20-2199:23 (Strunk Supplemental Rebuttal) (June 15, 2017).</w:t>
      </w:r>
    </w:p>
  </w:footnote>
  <w:footnote w:id="87">
    <w:p w14:paraId="7E6F782D" w14:textId="77777777" w:rsidR="00BF1EC4" w:rsidRDefault="00BF1EC4" w:rsidP="0032615D">
      <w:pPr>
        <w:pStyle w:val="FootnoteText"/>
      </w:pPr>
      <w:r>
        <w:rPr>
          <w:rStyle w:val="FootnoteReference"/>
        </w:rPr>
        <w:footnoteRef/>
      </w:r>
      <w:r>
        <w:t xml:space="preserve"> </w:t>
      </w:r>
      <w:r>
        <w:tab/>
        <w:t>Sierra Club Ex. 22 at 11-12 (installation of scrubber could be remedy for NAAQs non-attainment).</w:t>
      </w:r>
    </w:p>
  </w:footnote>
  <w:footnote w:id="88">
    <w:p w14:paraId="15624997" w14:textId="77777777" w:rsidR="00BF1EC4" w:rsidRPr="008452D0" w:rsidRDefault="00BF1EC4" w:rsidP="0032615D">
      <w:pPr>
        <w:pStyle w:val="FootnoteText"/>
      </w:pPr>
      <w:r>
        <w:rPr>
          <w:rStyle w:val="FootnoteReference"/>
        </w:rPr>
        <w:footnoteRef/>
      </w:r>
      <w:r>
        <w:t xml:space="preserve"> </w:t>
      </w:r>
      <w:r>
        <w:tab/>
      </w:r>
      <w:r>
        <w:rPr>
          <w:i/>
        </w:rPr>
        <w:t xml:space="preserve">See </w:t>
      </w:r>
      <w:r>
        <w:t xml:space="preserve">Tr. at 865:5-18 (Wilson Cross) (June 8, 2017); </w:t>
      </w:r>
      <w:r>
        <w:rPr>
          <w:i/>
        </w:rPr>
        <w:t xml:space="preserve">see also </w:t>
      </w:r>
      <w:r>
        <w:t>Tr. at 2126:24-2127:7 (Strunk Cross) (June 15, 2017) (LPSC Docket No. U-32507 record reflects Cleco’s position that any emission issue could be addressed by running the Dolet Hills scrubber differently).</w:t>
      </w:r>
    </w:p>
  </w:footnote>
  <w:footnote w:id="89">
    <w:p w14:paraId="76ADE744" w14:textId="77777777" w:rsidR="00BF1EC4" w:rsidRPr="000918A2" w:rsidRDefault="00BF1EC4" w:rsidP="0032615D">
      <w:pPr>
        <w:pStyle w:val="FootnoteText"/>
        <w:rPr>
          <w:i/>
        </w:rPr>
      </w:pPr>
      <w:r w:rsidRPr="006B29E5">
        <w:rPr>
          <w:rStyle w:val="FootnoteReference"/>
        </w:rPr>
        <w:footnoteRef/>
      </w:r>
      <w:r>
        <w:t xml:space="preserve"> </w:t>
      </w:r>
      <w:r>
        <w:tab/>
      </w:r>
      <w:r w:rsidRPr="002D099C">
        <w:rPr>
          <w:i/>
        </w:rPr>
        <w:t>See</w:t>
      </w:r>
      <w:r w:rsidRPr="006B29E5">
        <w:t xml:space="preserve"> SWEPCO Initial Brief at </w:t>
      </w:r>
      <w:r>
        <w:t>21</w:t>
      </w:r>
      <w:r w:rsidRPr="006B29E5">
        <w:t>.</w:t>
      </w:r>
    </w:p>
  </w:footnote>
  <w:footnote w:id="90">
    <w:p w14:paraId="088E0B80" w14:textId="77777777" w:rsidR="00BF1EC4" w:rsidRDefault="00BF1EC4" w:rsidP="0032615D">
      <w:pPr>
        <w:pStyle w:val="FootnoteText"/>
      </w:pPr>
      <w:r>
        <w:rPr>
          <w:rStyle w:val="FootnoteReference"/>
        </w:rPr>
        <w:footnoteRef/>
      </w:r>
      <w:r>
        <w:t xml:space="preserve"> </w:t>
      </w:r>
      <w:r>
        <w:tab/>
        <w:t>SWEPCO Ex. 11, Exhibit VMA-4 at 20.</w:t>
      </w:r>
    </w:p>
  </w:footnote>
  <w:footnote w:id="91">
    <w:p w14:paraId="4C5BE146" w14:textId="77777777" w:rsidR="00BF1EC4" w:rsidRPr="003A5D03" w:rsidRDefault="00BF1EC4" w:rsidP="0032615D">
      <w:pPr>
        <w:pStyle w:val="FootnoteText"/>
      </w:pPr>
      <w:r>
        <w:rPr>
          <w:rStyle w:val="FootnoteReference"/>
        </w:rPr>
        <w:footnoteRef/>
      </w:r>
      <w:r>
        <w:t xml:space="preserve"> </w:t>
      </w:r>
      <w:r>
        <w:tab/>
      </w:r>
      <w:r>
        <w:rPr>
          <w:i/>
        </w:rPr>
        <w:t xml:space="preserve">See </w:t>
      </w:r>
      <w:r>
        <w:t>Highly Sensitive Attachment 1 to SWEPCO’s response to Sierra Club 1-2, Highly Sensitive SWEPCO Ex. 64, Tr. at 873:24-876:18 (Wilson Cross) (June 8, 2017) for a discussion of the Burns &amp; McDonnell engineering estimates relied on by Cleco, versus the proxy costs relied on by Sierra Club.</w:t>
      </w:r>
    </w:p>
  </w:footnote>
  <w:footnote w:id="92">
    <w:p w14:paraId="7BDE27F9" w14:textId="77777777" w:rsidR="00BF1EC4" w:rsidRDefault="00BF1EC4" w:rsidP="0032615D">
      <w:pPr>
        <w:pStyle w:val="FootnoteText"/>
      </w:pPr>
      <w:r>
        <w:rPr>
          <w:rStyle w:val="FootnoteReference"/>
        </w:rPr>
        <w:footnoteRef/>
      </w:r>
      <w:r>
        <w:t xml:space="preserve"> </w:t>
      </w:r>
      <w:r>
        <w:tab/>
        <w:t xml:space="preserve">Sierra Club Initial Brief (at 43) has a number higher than $13 million because it used the total plant cost shown in the Burns &amp; McDonnell report (Highly Sensitive SWEPCO Ex. 64), as opposed to the Cleco share of costs used by Mr. Strunk.  Since SWEPCO had a smaller ownership share of Dolet Hills than Cleco, its costs related to the Burns &amp; McDonnell study would be even lower than $13 million.  </w:t>
      </w:r>
      <w:r w:rsidRPr="002A5606">
        <w:rPr>
          <w:i/>
        </w:rPr>
        <w:t>See</w:t>
      </w:r>
      <w:r>
        <w:t xml:space="preserve"> Highly Sensitive SWEPCO Ex. 64 at Tables 5-3, 5-4, 5-5, and 5-6 (showing “Total” project costs).  Mr. Strunk specifically cited to Cleco’s statements in LPSC Docket No. U-32507 regarding its share of these estimated environmental costs.  SWEPCO Ex. 48 at 26.</w:t>
      </w:r>
    </w:p>
  </w:footnote>
  <w:footnote w:id="93">
    <w:p w14:paraId="14B06ABB" w14:textId="77777777" w:rsidR="00BF1EC4" w:rsidRDefault="00BF1EC4" w:rsidP="00BE3F57">
      <w:pPr>
        <w:pStyle w:val="FootnoteText"/>
      </w:pPr>
      <w:r>
        <w:rPr>
          <w:rStyle w:val="FootnoteReference"/>
        </w:rPr>
        <w:footnoteRef/>
      </w:r>
      <w:r>
        <w:t xml:space="preserve"> </w:t>
      </w:r>
      <w:r>
        <w:tab/>
        <w:t xml:space="preserve">Highly Sensitive SWEPCO Ex. 64 at 5-18, </w:t>
      </w:r>
      <w:r w:rsidRPr="00A5310E">
        <w:t xml:space="preserve">sections 5.3.1-5.3.3 (“Based on the ambient air monitoring data, Dolet Hills is in an attainment </w:t>
      </w:r>
      <w:proofErr w:type="gramStart"/>
      <w:r w:rsidRPr="00A5310E">
        <w:t>ara</w:t>
      </w:r>
      <w:proofErr w:type="gramEnd"/>
      <w:r w:rsidRPr="00A5310E">
        <w:t xml:space="preserve"> for all criteria pollutants.   Since the area is in attainment, both the minimum and base compliance cases assume no additional controls are required at this time</w:t>
      </w:r>
      <w:r w:rsidRPr="002430D7">
        <w:t>.”).</w:t>
      </w:r>
    </w:p>
  </w:footnote>
  <w:footnote w:id="94">
    <w:p w14:paraId="4EFB315E" w14:textId="77777777" w:rsidR="00BF1EC4" w:rsidRPr="00D714C0" w:rsidRDefault="00BF1EC4" w:rsidP="0032615D">
      <w:pPr>
        <w:pStyle w:val="FootnoteText"/>
      </w:pPr>
      <w:r w:rsidRPr="00D714C0">
        <w:rPr>
          <w:rStyle w:val="FootnoteReference"/>
        </w:rPr>
        <w:footnoteRef/>
      </w:r>
      <w:r w:rsidRPr="00D714C0">
        <w:t xml:space="preserve"> </w:t>
      </w:r>
      <w:r>
        <w:tab/>
        <w:t>Tr. at 2160:2-18 (Strunk Redirect) (June 15, 2017).</w:t>
      </w:r>
    </w:p>
  </w:footnote>
  <w:footnote w:id="95">
    <w:p w14:paraId="15A1CE26" w14:textId="77777777" w:rsidR="00BF1EC4" w:rsidRPr="002C76CE" w:rsidRDefault="00BF1EC4" w:rsidP="0032615D">
      <w:pPr>
        <w:pStyle w:val="FootnoteText"/>
      </w:pPr>
      <w:r>
        <w:rPr>
          <w:rStyle w:val="FootnoteReference"/>
        </w:rPr>
        <w:footnoteRef/>
      </w:r>
      <w:r>
        <w:t xml:space="preserve"> </w:t>
      </w:r>
      <w:r>
        <w:tab/>
      </w:r>
      <w:r>
        <w:rPr>
          <w:i/>
        </w:rPr>
        <w:t xml:space="preserve">See </w:t>
      </w:r>
      <w:r>
        <w:t>SWEPCO Ex. 48 at Table 1.</w:t>
      </w:r>
    </w:p>
  </w:footnote>
  <w:footnote w:id="96">
    <w:p w14:paraId="7B6E49F7" w14:textId="77777777" w:rsidR="00BF1EC4" w:rsidRDefault="00BF1EC4" w:rsidP="0032615D">
      <w:pPr>
        <w:pStyle w:val="FootnoteText"/>
      </w:pPr>
      <w:r>
        <w:rPr>
          <w:rStyle w:val="FootnoteReference"/>
        </w:rPr>
        <w:footnoteRef/>
      </w:r>
      <w:r>
        <w:t xml:space="preserve"> </w:t>
      </w:r>
      <w:r>
        <w:tab/>
      </w:r>
      <w:proofErr w:type="gramStart"/>
      <w:r>
        <w:t>Sierra Club Exceptions at 44.</w:t>
      </w:r>
      <w:proofErr w:type="gramEnd"/>
    </w:p>
  </w:footnote>
  <w:footnote w:id="97">
    <w:p w14:paraId="5118717B" w14:textId="77777777" w:rsidR="00BF1EC4" w:rsidRPr="00434F3D" w:rsidRDefault="00BF1EC4" w:rsidP="0032615D">
      <w:pPr>
        <w:pStyle w:val="FootnoteText"/>
      </w:pPr>
      <w:r w:rsidRPr="00434F3D">
        <w:rPr>
          <w:rStyle w:val="FootnoteReference"/>
        </w:rPr>
        <w:footnoteRef/>
      </w:r>
      <w:r w:rsidRPr="00434F3D">
        <w:t xml:space="preserve"> </w:t>
      </w:r>
      <w:r>
        <w:tab/>
      </w:r>
      <w:proofErr w:type="gramStart"/>
      <w:r w:rsidRPr="00434F3D">
        <w:rPr>
          <w:i/>
        </w:rPr>
        <w:t xml:space="preserve">See, e.g., </w:t>
      </w:r>
      <w:r>
        <w:t>impact of CO</w:t>
      </w:r>
      <w:r w:rsidRPr="002D099C">
        <w:rPr>
          <w:vertAlign w:val="subscript"/>
        </w:rPr>
        <w:t>2</w:t>
      </w:r>
      <w:r w:rsidRPr="00434F3D">
        <w:t xml:space="preserve"> sensitivities shown in</w:t>
      </w:r>
      <w:r w:rsidRPr="00434F3D">
        <w:rPr>
          <w:i/>
        </w:rPr>
        <w:t xml:space="preserve"> </w:t>
      </w:r>
      <w:r w:rsidRPr="00434F3D">
        <w:t>SWEPCO Ex. 48, Table 1.</w:t>
      </w:r>
      <w:proofErr w:type="gramEnd"/>
    </w:p>
  </w:footnote>
  <w:footnote w:id="98">
    <w:p w14:paraId="31C652FA" w14:textId="77777777" w:rsidR="00BF1EC4" w:rsidRDefault="00BF1EC4" w:rsidP="0032615D">
      <w:pPr>
        <w:pStyle w:val="FootnoteText"/>
      </w:pPr>
      <w:r>
        <w:rPr>
          <w:rStyle w:val="FootnoteReference"/>
        </w:rPr>
        <w:footnoteRef/>
      </w:r>
      <w:r>
        <w:t xml:space="preserve"> </w:t>
      </w:r>
      <w:r>
        <w:tab/>
      </w:r>
      <w:r w:rsidRPr="00C34E1E">
        <w:t>Tr. at 862:16</w:t>
      </w:r>
      <w:r>
        <w:t>-</w:t>
      </w:r>
      <w:r w:rsidRPr="00C34E1E">
        <w:t>865:24 (Wilson Cross)</w:t>
      </w:r>
      <w:r>
        <w:t xml:space="preserve"> </w:t>
      </w:r>
      <w:r w:rsidRPr="00C34E1E">
        <w:t>(June 8, 2017); Tr. at 2158:</w:t>
      </w:r>
      <w:r>
        <w:t>3</w:t>
      </w:r>
      <w:r w:rsidRPr="00C34E1E">
        <w:t xml:space="preserve">-18 (Strunk </w:t>
      </w:r>
      <w:r>
        <w:t>Redirect</w:t>
      </w:r>
      <w:r w:rsidRPr="00597294">
        <w:t>)</w:t>
      </w:r>
      <w:r>
        <w:t xml:space="preserve"> </w:t>
      </w:r>
      <w:r w:rsidRPr="00597294">
        <w:t>(Jun</w:t>
      </w:r>
      <w:r w:rsidRPr="00BE4A07">
        <w:t>e 15, 2017).</w:t>
      </w:r>
      <w:r>
        <w:t xml:space="preserve">  </w:t>
      </w:r>
    </w:p>
  </w:footnote>
  <w:footnote w:id="99">
    <w:p w14:paraId="206A0BC0" w14:textId="77777777" w:rsidR="00BF1EC4" w:rsidRDefault="00BF1EC4" w:rsidP="0032615D">
      <w:pPr>
        <w:pStyle w:val="FootnoteText"/>
      </w:pPr>
      <w:r w:rsidRPr="00434F3D">
        <w:rPr>
          <w:rStyle w:val="FootnoteReference"/>
        </w:rPr>
        <w:footnoteRef/>
      </w:r>
      <w:r w:rsidRPr="00434F3D">
        <w:t xml:space="preserve"> </w:t>
      </w:r>
      <w:r>
        <w:tab/>
      </w:r>
      <w:r w:rsidRPr="00434F3D">
        <w:t>SWEPCO Ex. 48 at 17-18.</w:t>
      </w:r>
    </w:p>
  </w:footnote>
  <w:footnote w:id="100">
    <w:p w14:paraId="1F5190CE" w14:textId="77777777" w:rsidR="00BF1EC4" w:rsidRDefault="00BF1EC4" w:rsidP="0032615D">
      <w:pPr>
        <w:pStyle w:val="FootnoteText"/>
      </w:pPr>
      <w:r>
        <w:rPr>
          <w:rStyle w:val="FootnoteReference"/>
        </w:rPr>
        <w:footnoteRef/>
      </w:r>
      <w:r>
        <w:t xml:space="preserve"> </w:t>
      </w:r>
      <w:r>
        <w:tab/>
      </w:r>
      <w:proofErr w:type="gramStart"/>
      <w:r>
        <w:t>PFD at 28, 35-36, 48.</w:t>
      </w:r>
      <w:proofErr w:type="gramEnd"/>
    </w:p>
  </w:footnote>
  <w:footnote w:id="101">
    <w:p w14:paraId="172CF053" w14:textId="77777777" w:rsidR="00BF1EC4" w:rsidRDefault="00BF1EC4" w:rsidP="00531307">
      <w:pPr>
        <w:pStyle w:val="FootnoteText"/>
      </w:pPr>
      <w:r>
        <w:rPr>
          <w:rStyle w:val="FootnoteReference"/>
        </w:rPr>
        <w:footnoteRef/>
      </w:r>
      <w:r>
        <w:t xml:space="preserve"> </w:t>
      </w:r>
      <w:r>
        <w:tab/>
        <w:t>Including the Dolet Hills Plant, discussed above.</w:t>
      </w:r>
    </w:p>
  </w:footnote>
  <w:footnote w:id="102">
    <w:p w14:paraId="320C708D" w14:textId="77777777" w:rsidR="00BF1EC4" w:rsidRPr="00300EC7" w:rsidRDefault="00BF1EC4" w:rsidP="00531307">
      <w:pPr>
        <w:pStyle w:val="FootnoteText"/>
      </w:pPr>
      <w:r>
        <w:rPr>
          <w:rStyle w:val="FootnoteReference"/>
        </w:rPr>
        <w:footnoteRef/>
      </w:r>
      <w:r>
        <w:t xml:space="preserve"> </w:t>
      </w:r>
      <w:r>
        <w:tab/>
      </w:r>
      <w:r>
        <w:rPr>
          <w:i/>
        </w:rPr>
        <w:t xml:space="preserve">See </w:t>
      </w:r>
      <w:r>
        <w:t xml:space="preserve">SWEPCO Ex. 11 at 22-24 and Exhibit VMA-2; </w:t>
      </w:r>
      <w:r>
        <w:rPr>
          <w:i/>
        </w:rPr>
        <w:t xml:space="preserve">See also </w:t>
      </w:r>
      <w:r>
        <w:t>Direct Testimony of Michael J. Nasi, SWEPCO Ex. 7 at 29-32.</w:t>
      </w:r>
    </w:p>
  </w:footnote>
  <w:footnote w:id="103">
    <w:p w14:paraId="2246A73E" w14:textId="77777777" w:rsidR="00BF1EC4" w:rsidRDefault="00BF1EC4">
      <w:pPr>
        <w:pStyle w:val="FootnoteText"/>
      </w:pPr>
      <w:r>
        <w:rPr>
          <w:rStyle w:val="FootnoteReference"/>
        </w:rPr>
        <w:footnoteRef/>
      </w:r>
      <w:r>
        <w:t xml:space="preserve"> </w:t>
      </w:r>
      <w:r>
        <w:tab/>
      </w:r>
      <w:proofErr w:type="gramStart"/>
      <w:r>
        <w:t>PFD at 72.</w:t>
      </w:r>
      <w:proofErr w:type="gramEnd"/>
    </w:p>
  </w:footnote>
  <w:footnote w:id="104">
    <w:p w14:paraId="0B8ABD15" w14:textId="77777777" w:rsidR="00BF1EC4" w:rsidRDefault="00BF1EC4" w:rsidP="00531307">
      <w:pPr>
        <w:pStyle w:val="FootnoteText"/>
      </w:pPr>
      <w:r>
        <w:rPr>
          <w:rStyle w:val="FootnoteReference"/>
        </w:rPr>
        <w:footnoteRef/>
      </w:r>
      <w:r>
        <w:t xml:space="preserve"> </w:t>
      </w:r>
      <w:r>
        <w:tab/>
      </w:r>
      <w:r>
        <w:rPr>
          <w:i/>
        </w:rPr>
        <w:t xml:space="preserve">See </w:t>
      </w:r>
      <w:r>
        <w:t>Direct Testimony of Mark Becker, SWEPCO Ex. 10 at 10-21; SWEPCO Ex. 46 at 7-16.</w:t>
      </w:r>
    </w:p>
  </w:footnote>
  <w:footnote w:id="105">
    <w:p w14:paraId="64849403" w14:textId="77777777" w:rsidR="00BF1EC4" w:rsidRDefault="00BF1EC4" w:rsidP="00531307">
      <w:pPr>
        <w:pStyle w:val="FootnoteText"/>
      </w:pPr>
      <w:r>
        <w:rPr>
          <w:rStyle w:val="FootnoteReference"/>
        </w:rPr>
        <w:footnoteRef/>
      </w:r>
      <w:r>
        <w:t xml:space="preserve"> </w:t>
      </w:r>
      <w:r>
        <w:tab/>
        <w:t>SWEPCO Ex. 46 at 8.</w:t>
      </w:r>
    </w:p>
  </w:footnote>
  <w:footnote w:id="106">
    <w:p w14:paraId="4D2F1892" w14:textId="77777777" w:rsidR="00BF1EC4" w:rsidRDefault="00BF1EC4" w:rsidP="00531307">
      <w:pPr>
        <w:pStyle w:val="FootnoteText"/>
      </w:pPr>
      <w:r>
        <w:rPr>
          <w:rStyle w:val="FootnoteReference"/>
        </w:rPr>
        <w:footnoteRef/>
      </w:r>
      <w:r>
        <w:t xml:space="preserve"> </w:t>
      </w:r>
      <w:r>
        <w:tab/>
        <w:t>Tr. at 701:17-19, 704:15-705:7, 706:2-707:8 (Wilson Cross) (June 8, 2017).</w:t>
      </w:r>
    </w:p>
  </w:footnote>
  <w:footnote w:id="107">
    <w:p w14:paraId="22CE7EF2" w14:textId="77777777" w:rsidR="00BF1EC4" w:rsidRDefault="00BF1EC4" w:rsidP="00531307">
      <w:pPr>
        <w:pStyle w:val="FootnoteText"/>
      </w:pPr>
      <w:r>
        <w:rPr>
          <w:rStyle w:val="FootnoteReference"/>
        </w:rPr>
        <w:footnoteRef/>
      </w:r>
      <w:r>
        <w:t xml:space="preserve"> </w:t>
      </w:r>
      <w:r>
        <w:tab/>
        <w:t>SWEPCO Ex. 10 at 13-14.</w:t>
      </w:r>
    </w:p>
  </w:footnote>
  <w:footnote w:id="108">
    <w:p w14:paraId="66E8BE96" w14:textId="77777777" w:rsidR="00BF1EC4" w:rsidRDefault="00BF1EC4" w:rsidP="00531307">
      <w:pPr>
        <w:pStyle w:val="FootnoteText"/>
      </w:pPr>
      <w:r>
        <w:rPr>
          <w:rStyle w:val="FootnoteReference"/>
        </w:rPr>
        <w:footnoteRef/>
      </w:r>
      <w:r>
        <w:t xml:space="preserve"> </w:t>
      </w:r>
      <w:r>
        <w:tab/>
        <w:t>SWEPCO Ex. 10 at 5.</w:t>
      </w:r>
    </w:p>
  </w:footnote>
  <w:footnote w:id="109">
    <w:p w14:paraId="09E474EF" w14:textId="77777777" w:rsidR="00BF1EC4" w:rsidRDefault="00BF1EC4" w:rsidP="00531307">
      <w:pPr>
        <w:pStyle w:val="FootnoteText"/>
      </w:pPr>
      <w:r>
        <w:rPr>
          <w:rStyle w:val="FootnoteReference"/>
        </w:rPr>
        <w:footnoteRef/>
      </w:r>
      <w:r>
        <w:t xml:space="preserve"> </w:t>
      </w:r>
      <w:r>
        <w:tab/>
      </w:r>
      <w:proofErr w:type="gramStart"/>
      <w:r>
        <w:rPr>
          <w:i/>
        </w:rPr>
        <w:t xml:space="preserve">E.g., </w:t>
      </w:r>
      <w:r>
        <w:t>Sierra Club Exceptions at 48 and 49.</w:t>
      </w:r>
      <w:proofErr w:type="gramEnd"/>
    </w:p>
  </w:footnote>
  <w:footnote w:id="110">
    <w:p w14:paraId="1C66B2A4" w14:textId="77777777" w:rsidR="00BF1EC4" w:rsidRDefault="00BF1EC4" w:rsidP="00531307">
      <w:pPr>
        <w:pStyle w:val="FootnoteText"/>
      </w:pPr>
      <w:r>
        <w:rPr>
          <w:rStyle w:val="FootnoteReference"/>
        </w:rPr>
        <w:footnoteRef/>
      </w:r>
      <w:r>
        <w:t xml:space="preserve"> </w:t>
      </w:r>
      <w:r>
        <w:tab/>
        <w:t>Rebuttal Testimony of Karl Bletzacker, SWEPCO Ex. 45 at 3-4.</w:t>
      </w:r>
    </w:p>
  </w:footnote>
  <w:footnote w:id="111">
    <w:p w14:paraId="2AE011CD" w14:textId="77777777" w:rsidR="00BF1EC4" w:rsidRPr="003F49B8" w:rsidRDefault="00BF1EC4" w:rsidP="00531307">
      <w:pPr>
        <w:pStyle w:val="FootnoteText"/>
      </w:pPr>
      <w:r>
        <w:rPr>
          <w:rStyle w:val="FootnoteReference"/>
        </w:rPr>
        <w:footnoteRef/>
      </w:r>
      <w:r>
        <w:t xml:space="preserve"> </w:t>
      </w:r>
      <w:r>
        <w:tab/>
      </w:r>
      <w:r>
        <w:rPr>
          <w:i/>
        </w:rPr>
        <w:t xml:space="preserve">See e.g., </w:t>
      </w:r>
      <w:r>
        <w:t>OPUC Initial Brief at 23.</w:t>
      </w:r>
    </w:p>
  </w:footnote>
  <w:footnote w:id="112">
    <w:p w14:paraId="71179F3D" w14:textId="77777777" w:rsidR="00BF1EC4" w:rsidRDefault="00BF1EC4" w:rsidP="00531307">
      <w:pPr>
        <w:pStyle w:val="FootnoteText"/>
      </w:pPr>
      <w:r>
        <w:rPr>
          <w:rStyle w:val="FootnoteReference"/>
        </w:rPr>
        <w:footnoteRef/>
      </w:r>
      <w:r>
        <w:t xml:space="preserve"> </w:t>
      </w:r>
      <w:r>
        <w:tab/>
        <w:t>SWEPCO Ex. 45 at 4-5.</w:t>
      </w:r>
    </w:p>
  </w:footnote>
  <w:footnote w:id="113">
    <w:p w14:paraId="3244E916" w14:textId="77777777" w:rsidR="00BF1EC4" w:rsidRDefault="00BF1EC4" w:rsidP="00531307">
      <w:pPr>
        <w:pStyle w:val="FootnoteText"/>
      </w:pPr>
      <w:r>
        <w:rPr>
          <w:rStyle w:val="FootnoteReference"/>
        </w:rPr>
        <w:footnoteRef/>
      </w:r>
      <w:r>
        <w:t xml:space="preserve"> </w:t>
      </w:r>
      <w:r>
        <w:tab/>
        <w:t>Tr. at 1936:17-1937:21 (Bletzacker Cross) (June 14, 2017).</w:t>
      </w:r>
    </w:p>
  </w:footnote>
  <w:footnote w:id="114">
    <w:p w14:paraId="18AEC97C" w14:textId="77777777" w:rsidR="00BF1EC4" w:rsidRDefault="00BF1EC4" w:rsidP="00531307">
      <w:pPr>
        <w:pStyle w:val="FootnoteText"/>
      </w:pPr>
      <w:r>
        <w:rPr>
          <w:rStyle w:val="FootnoteReference"/>
        </w:rPr>
        <w:footnoteRef/>
      </w:r>
      <w:r>
        <w:t xml:space="preserve"> </w:t>
      </w:r>
      <w:r>
        <w:tab/>
      </w:r>
      <w:proofErr w:type="gramStart"/>
      <w:r>
        <w:t>Sierra Club Exceptions at 50.</w:t>
      </w:r>
      <w:proofErr w:type="gramEnd"/>
    </w:p>
  </w:footnote>
  <w:footnote w:id="115">
    <w:p w14:paraId="04746162" w14:textId="77777777" w:rsidR="00BF1EC4" w:rsidRDefault="00BF1EC4" w:rsidP="00531307">
      <w:pPr>
        <w:pStyle w:val="FootnoteText"/>
      </w:pPr>
      <w:r>
        <w:rPr>
          <w:rStyle w:val="FootnoteReference"/>
        </w:rPr>
        <w:footnoteRef/>
      </w:r>
      <w:r>
        <w:t xml:space="preserve"> </w:t>
      </w:r>
      <w:r>
        <w:tab/>
        <w:t>Tr. at 1299:15-20 (Woodruff Recross) (June 12, 2017).</w:t>
      </w:r>
    </w:p>
  </w:footnote>
  <w:footnote w:id="116">
    <w:p w14:paraId="7FC89D14" w14:textId="77777777" w:rsidR="00BF1EC4" w:rsidRDefault="00BF1EC4" w:rsidP="00531307">
      <w:pPr>
        <w:pStyle w:val="FootnoteText"/>
      </w:pPr>
      <w:r>
        <w:rPr>
          <w:rStyle w:val="FootnoteReference"/>
        </w:rPr>
        <w:footnoteRef/>
      </w:r>
      <w:r>
        <w:t xml:space="preserve"> </w:t>
      </w:r>
      <w:r>
        <w:tab/>
      </w:r>
      <w:proofErr w:type="gramStart"/>
      <w:r>
        <w:t>OPUC Exceptions at 14.</w:t>
      </w:r>
      <w:proofErr w:type="gramEnd"/>
    </w:p>
  </w:footnote>
  <w:footnote w:id="117">
    <w:p w14:paraId="4E3EF61C" w14:textId="77777777" w:rsidR="00BF1EC4" w:rsidRDefault="00BF1EC4" w:rsidP="00531307">
      <w:pPr>
        <w:pStyle w:val="FootnoteText"/>
      </w:pPr>
      <w:r>
        <w:rPr>
          <w:rStyle w:val="FootnoteReference"/>
        </w:rPr>
        <w:footnoteRef/>
      </w:r>
      <w:r>
        <w:t xml:space="preserve"> </w:t>
      </w:r>
      <w:r>
        <w:tab/>
      </w:r>
      <w:proofErr w:type="gramStart"/>
      <w:r>
        <w:t>OPUC Exceptions at 14.</w:t>
      </w:r>
      <w:proofErr w:type="gramEnd"/>
    </w:p>
  </w:footnote>
  <w:footnote w:id="118">
    <w:p w14:paraId="607474F3" w14:textId="77777777" w:rsidR="00BF1EC4" w:rsidRDefault="00BF1EC4" w:rsidP="00531307">
      <w:pPr>
        <w:pStyle w:val="FootnoteText"/>
      </w:pPr>
      <w:r>
        <w:rPr>
          <w:rStyle w:val="FootnoteReference"/>
        </w:rPr>
        <w:footnoteRef/>
      </w:r>
      <w:r>
        <w:t xml:space="preserve"> </w:t>
      </w:r>
      <w:r>
        <w:tab/>
      </w:r>
      <w:proofErr w:type="gramStart"/>
      <w:r>
        <w:t>Highly Sensitive Direct Testimony of Kevin Woodruff, OPUC Ex. 4, Exhibit KDW-6, at 6.</w:t>
      </w:r>
      <w:proofErr w:type="gramEnd"/>
    </w:p>
  </w:footnote>
  <w:footnote w:id="119">
    <w:p w14:paraId="6EB773E1" w14:textId="77777777" w:rsidR="00BF1EC4" w:rsidRDefault="00BF1EC4" w:rsidP="00531307">
      <w:pPr>
        <w:pStyle w:val="FootnoteText"/>
      </w:pPr>
      <w:r>
        <w:rPr>
          <w:rStyle w:val="FootnoteReference"/>
        </w:rPr>
        <w:footnoteRef/>
      </w:r>
      <w:r>
        <w:t xml:space="preserve"> </w:t>
      </w:r>
      <w:r>
        <w:tab/>
      </w:r>
      <w:proofErr w:type="gramStart"/>
      <w:r>
        <w:t>PFD at 70.</w:t>
      </w:r>
      <w:proofErr w:type="gramEnd"/>
    </w:p>
  </w:footnote>
  <w:footnote w:id="120">
    <w:p w14:paraId="0EE56445" w14:textId="77777777" w:rsidR="00BF1EC4" w:rsidRPr="00901A3D" w:rsidRDefault="00BF1EC4" w:rsidP="00531307">
      <w:pPr>
        <w:pStyle w:val="FootnoteText"/>
      </w:pPr>
      <w:r>
        <w:rPr>
          <w:rStyle w:val="FootnoteReference"/>
        </w:rPr>
        <w:footnoteRef/>
      </w:r>
      <w:r>
        <w:t xml:space="preserve"> </w:t>
      </w:r>
      <w:r>
        <w:tab/>
      </w:r>
      <w:r>
        <w:rPr>
          <w:i/>
        </w:rPr>
        <w:t xml:space="preserve">See e.g., </w:t>
      </w:r>
      <w:r>
        <w:t>OPUC Exceptions at 15.</w:t>
      </w:r>
    </w:p>
  </w:footnote>
  <w:footnote w:id="121">
    <w:p w14:paraId="11446357" w14:textId="77777777" w:rsidR="00BF1EC4" w:rsidRDefault="00BF1EC4" w:rsidP="00531307">
      <w:pPr>
        <w:pStyle w:val="FootnoteText"/>
      </w:pPr>
      <w:r>
        <w:rPr>
          <w:rStyle w:val="FootnoteReference"/>
        </w:rPr>
        <w:footnoteRef/>
      </w:r>
      <w:r>
        <w:t xml:space="preserve"> </w:t>
      </w:r>
      <w:r>
        <w:tab/>
        <w:t>SWEPCO Ex. 46 at 7.</w:t>
      </w:r>
    </w:p>
  </w:footnote>
  <w:footnote w:id="122">
    <w:p w14:paraId="07A3C3E5" w14:textId="77777777" w:rsidR="00BF1EC4" w:rsidRPr="0013770E" w:rsidRDefault="00BF1EC4" w:rsidP="00AA1164">
      <w:pPr>
        <w:pStyle w:val="FootnoteText"/>
      </w:pPr>
      <w:r>
        <w:rPr>
          <w:rStyle w:val="FootnoteReference"/>
        </w:rPr>
        <w:footnoteRef/>
      </w:r>
      <w:r>
        <w:t xml:space="preserve"> </w:t>
      </w:r>
      <w:r>
        <w:tab/>
      </w:r>
      <w:proofErr w:type="gramStart"/>
      <w:r>
        <w:rPr>
          <w:i/>
        </w:rPr>
        <w:t xml:space="preserve">Id. </w:t>
      </w:r>
      <w:r>
        <w:t>at 9.</w:t>
      </w:r>
      <w:proofErr w:type="gramEnd"/>
    </w:p>
  </w:footnote>
  <w:footnote w:id="123">
    <w:p w14:paraId="309EE004" w14:textId="77777777" w:rsidR="00BF1EC4" w:rsidRDefault="00BF1EC4" w:rsidP="00531307">
      <w:pPr>
        <w:pStyle w:val="FootnoteText"/>
      </w:pPr>
      <w:r>
        <w:rPr>
          <w:rStyle w:val="FootnoteReference"/>
        </w:rPr>
        <w:footnoteRef/>
      </w:r>
      <w:r>
        <w:t xml:space="preserve"> </w:t>
      </w:r>
      <w:r>
        <w:tab/>
      </w:r>
      <w:proofErr w:type="gramStart"/>
      <w:r>
        <w:t>OPUC Exceptions at 14.</w:t>
      </w:r>
      <w:proofErr w:type="gramEnd"/>
    </w:p>
  </w:footnote>
  <w:footnote w:id="124">
    <w:p w14:paraId="5A04B94A" w14:textId="77777777" w:rsidR="00BF1EC4" w:rsidRDefault="00BF1EC4" w:rsidP="00531307">
      <w:pPr>
        <w:pStyle w:val="FootnoteText"/>
      </w:pPr>
      <w:r>
        <w:rPr>
          <w:rStyle w:val="FootnoteReference"/>
        </w:rPr>
        <w:footnoteRef/>
      </w:r>
      <w:r>
        <w:t xml:space="preserve"> </w:t>
      </w:r>
      <w:r>
        <w:tab/>
        <w:t>SWEPCO Ex. 44 at 14.</w:t>
      </w:r>
    </w:p>
  </w:footnote>
  <w:footnote w:id="125">
    <w:p w14:paraId="024542CC" w14:textId="77777777" w:rsidR="00BF1EC4" w:rsidRDefault="00BF1EC4" w:rsidP="00531307">
      <w:pPr>
        <w:pStyle w:val="FootnoteText"/>
      </w:pPr>
      <w:r>
        <w:rPr>
          <w:rStyle w:val="FootnoteReference"/>
        </w:rPr>
        <w:footnoteRef/>
      </w:r>
      <w:r>
        <w:t xml:space="preserve"> </w:t>
      </w:r>
      <w:r>
        <w:tab/>
        <w:t>SWEPCO Ex. 46 at 13.</w:t>
      </w:r>
    </w:p>
  </w:footnote>
  <w:footnote w:id="126">
    <w:p w14:paraId="362049B4" w14:textId="77777777" w:rsidR="00BF1EC4" w:rsidRDefault="00BF1EC4" w:rsidP="00531307">
      <w:pPr>
        <w:pStyle w:val="FootnoteText"/>
      </w:pPr>
      <w:r>
        <w:rPr>
          <w:rStyle w:val="FootnoteReference"/>
        </w:rPr>
        <w:footnoteRef/>
      </w:r>
      <w:r>
        <w:t xml:space="preserve"> </w:t>
      </w:r>
      <w:r>
        <w:tab/>
      </w:r>
      <w:proofErr w:type="gramStart"/>
      <w:r>
        <w:t>PFD at 71.</w:t>
      </w:r>
      <w:proofErr w:type="gramEnd"/>
    </w:p>
  </w:footnote>
  <w:footnote w:id="127">
    <w:p w14:paraId="0FB83DB6" w14:textId="77777777" w:rsidR="00BF1EC4" w:rsidRDefault="00BF1EC4" w:rsidP="00531307">
      <w:pPr>
        <w:pStyle w:val="FootnoteText"/>
      </w:pPr>
      <w:r>
        <w:rPr>
          <w:rStyle w:val="FootnoteReference"/>
        </w:rPr>
        <w:footnoteRef/>
      </w:r>
      <w:r>
        <w:t xml:space="preserve"> </w:t>
      </w:r>
      <w:r>
        <w:tab/>
        <w:t>SWEPCO Ex. 46 at 17.</w:t>
      </w:r>
    </w:p>
  </w:footnote>
  <w:footnote w:id="128">
    <w:p w14:paraId="2A2425E4" w14:textId="77777777" w:rsidR="00BF1EC4" w:rsidRDefault="00BF1EC4" w:rsidP="00531307">
      <w:pPr>
        <w:pStyle w:val="FootnoteText"/>
        <w:tabs>
          <w:tab w:val="left" w:pos="720"/>
          <w:tab w:val="left" w:pos="1440"/>
          <w:tab w:val="left" w:pos="2160"/>
          <w:tab w:val="center" w:pos="4680"/>
        </w:tabs>
      </w:pPr>
      <w:r>
        <w:rPr>
          <w:rStyle w:val="FootnoteReference"/>
        </w:rPr>
        <w:footnoteRef/>
      </w:r>
      <w:r>
        <w:t xml:space="preserve"> </w:t>
      </w:r>
      <w:r>
        <w:tab/>
        <w:t>SWEPCO Ex. 46 at 3.</w:t>
      </w:r>
      <w:r>
        <w:tab/>
      </w:r>
    </w:p>
  </w:footnote>
  <w:footnote w:id="129">
    <w:p w14:paraId="47CE6D33" w14:textId="77777777" w:rsidR="00BF1EC4" w:rsidRDefault="00BF1EC4" w:rsidP="00531307">
      <w:pPr>
        <w:pStyle w:val="FootnoteText"/>
      </w:pPr>
      <w:r>
        <w:rPr>
          <w:rStyle w:val="FootnoteReference"/>
        </w:rPr>
        <w:footnoteRef/>
      </w:r>
      <w:r>
        <w:t xml:space="preserve"> </w:t>
      </w:r>
      <w:r>
        <w:tab/>
      </w:r>
      <w:proofErr w:type="gramStart"/>
      <w:r>
        <w:t>Sierra Club Exceptions at 59.</w:t>
      </w:r>
      <w:proofErr w:type="gramEnd"/>
    </w:p>
  </w:footnote>
  <w:footnote w:id="130">
    <w:p w14:paraId="55402168" w14:textId="77777777" w:rsidR="00BF1EC4" w:rsidRDefault="00BF1EC4" w:rsidP="00531307">
      <w:pPr>
        <w:pStyle w:val="FootnoteText"/>
      </w:pPr>
      <w:r>
        <w:rPr>
          <w:rStyle w:val="FootnoteReference"/>
        </w:rPr>
        <w:footnoteRef/>
      </w:r>
      <w:r>
        <w:t xml:space="preserve"> </w:t>
      </w:r>
      <w:r>
        <w:tab/>
      </w:r>
      <w:proofErr w:type="gramStart"/>
      <w:r>
        <w:t>OPUC Exceptions at 15.</w:t>
      </w:r>
      <w:proofErr w:type="gramEnd"/>
    </w:p>
  </w:footnote>
  <w:footnote w:id="131">
    <w:p w14:paraId="184E717E" w14:textId="77777777" w:rsidR="00BF1EC4" w:rsidRDefault="00BF1EC4" w:rsidP="0017782F">
      <w:pPr>
        <w:pStyle w:val="FootnoteText"/>
      </w:pPr>
      <w:r>
        <w:rPr>
          <w:rStyle w:val="FootnoteReference"/>
        </w:rPr>
        <w:footnoteRef/>
      </w:r>
      <w:r>
        <w:t xml:space="preserve"> </w:t>
      </w:r>
      <w:r>
        <w:tab/>
      </w:r>
      <w:proofErr w:type="gramStart"/>
      <w:r>
        <w:t>Rebuttal Testimony of Michael J. Nasi, SWEPCO Ex. 43 at 9.</w:t>
      </w:r>
      <w:proofErr w:type="gramEnd"/>
    </w:p>
  </w:footnote>
  <w:footnote w:id="132">
    <w:p w14:paraId="1464B908" w14:textId="77777777" w:rsidR="00BF1EC4" w:rsidRDefault="00BF1EC4" w:rsidP="007021FD">
      <w:pPr>
        <w:pStyle w:val="FootnoteText"/>
      </w:pPr>
      <w:r>
        <w:rPr>
          <w:rStyle w:val="FootnoteReference"/>
        </w:rPr>
        <w:footnoteRef/>
      </w:r>
      <w:r>
        <w:t xml:space="preserve"> </w:t>
      </w:r>
      <w:r>
        <w:tab/>
      </w:r>
      <w:proofErr w:type="gramStart"/>
      <w:r>
        <w:t>Rebuttal Testimony of Venita McCellon Allen, SWEPCO Ex. 49 at Exhibit VMA-2R.</w:t>
      </w:r>
      <w:proofErr w:type="gramEnd"/>
    </w:p>
  </w:footnote>
  <w:footnote w:id="133">
    <w:p w14:paraId="771B1B9B" w14:textId="77777777" w:rsidR="00BF1EC4" w:rsidRDefault="00BF1EC4" w:rsidP="007021FD">
      <w:pPr>
        <w:pStyle w:val="FootnoteText"/>
      </w:pPr>
      <w:r>
        <w:rPr>
          <w:rStyle w:val="FootnoteReference"/>
        </w:rPr>
        <w:footnoteRef/>
      </w:r>
      <w:r>
        <w:t xml:space="preserve"> </w:t>
      </w:r>
      <w:r>
        <w:tab/>
        <w:t>SWEPCO Ex. 43 at 18-22.</w:t>
      </w:r>
    </w:p>
  </w:footnote>
  <w:footnote w:id="134">
    <w:p w14:paraId="65FEEFE2" w14:textId="77777777" w:rsidR="00BF1EC4" w:rsidRDefault="00BF1EC4" w:rsidP="007021FD">
      <w:pPr>
        <w:pStyle w:val="FootnoteText"/>
      </w:pPr>
      <w:r>
        <w:rPr>
          <w:rStyle w:val="FootnoteReference"/>
        </w:rPr>
        <w:footnoteRef/>
      </w:r>
      <w:r>
        <w:t xml:space="preserve"> </w:t>
      </w:r>
      <w:r>
        <w:tab/>
        <w:t>SWEPCO Ex. 49, Exhibit VMA-2R at 5.</w:t>
      </w:r>
    </w:p>
  </w:footnote>
  <w:footnote w:id="135">
    <w:p w14:paraId="0045A492" w14:textId="77777777" w:rsidR="00BF1EC4" w:rsidRDefault="00BF1EC4" w:rsidP="007021FD">
      <w:pPr>
        <w:pStyle w:val="FootnoteText"/>
      </w:pPr>
      <w:r>
        <w:rPr>
          <w:rStyle w:val="FootnoteReference"/>
        </w:rPr>
        <w:footnoteRef/>
      </w:r>
      <w:r>
        <w:t xml:space="preserve"> </w:t>
      </w:r>
      <w:r>
        <w:tab/>
      </w:r>
      <w:proofErr w:type="gramStart"/>
      <w:r>
        <w:rPr>
          <w:i/>
        </w:rPr>
        <w:t>E.g.</w:t>
      </w:r>
      <w:r>
        <w:t>, Sierra Club Ex. 22 at 5, 20.</w:t>
      </w:r>
      <w:proofErr w:type="gramEnd"/>
    </w:p>
  </w:footnote>
  <w:footnote w:id="136">
    <w:p w14:paraId="0AC724FF" w14:textId="77777777" w:rsidR="00BF1EC4" w:rsidRPr="009D247B" w:rsidRDefault="00BF1EC4" w:rsidP="007021FD">
      <w:pPr>
        <w:pStyle w:val="FootnoteText"/>
      </w:pPr>
      <w:r>
        <w:rPr>
          <w:rStyle w:val="FootnoteReference"/>
        </w:rPr>
        <w:footnoteRef/>
      </w:r>
      <w:r>
        <w:t xml:space="preserve"> </w:t>
      </w:r>
      <w:r>
        <w:tab/>
      </w:r>
      <w:r>
        <w:rPr>
          <w:i/>
        </w:rPr>
        <w:t xml:space="preserve">See </w:t>
      </w:r>
      <w:r>
        <w:t>SWEPCO Ex. 43 at 2 (Mr. Norwood’s and Ms. Wilson’s opposing views support the conclusion that “like with most things, the most reasonable consideration of environmental regulatory compliance lies in the middle, and reflects a balanced response”).</w:t>
      </w:r>
    </w:p>
  </w:footnote>
  <w:footnote w:id="137">
    <w:p w14:paraId="14E307B5" w14:textId="77777777" w:rsidR="00BF1EC4" w:rsidRDefault="00BF1EC4" w:rsidP="007021FD">
      <w:pPr>
        <w:pStyle w:val="FootnoteText"/>
      </w:pPr>
      <w:r>
        <w:rPr>
          <w:rStyle w:val="FootnoteReference"/>
        </w:rPr>
        <w:footnoteRef/>
      </w:r>
      <w:r>
        <w:t xml:space="preserve"> </w:t>
      </w:r>
      <w:r>
        <w:tab/>
        <w:t xml:space="preserve">SWEPCO Ex. 11 at 22-23. </w:t>
      </w:r>
    </w:p>
  </w:footnote>
  <w:footnote w:id="138">
    <w:p w14:paraId="64AB6E07" w14:textId="77777777" w:rsidR="00BF1EC4" w:rsidRDefault="00BF1EC4" w:rsidP="007021FD">
      <w:pPr>
        <w:pStyle w:val="FootnoteText"/>
      </w:pPr>
      <w:r>
        <w:rPr>
          <w:rStyle w:val="FootnoteReference"/>
        </w:rPr>
        <w:footnoteRef/>
      </w:r>
      <w:r>
        <w:t xml:space="preserve"> </w:t>
      </w:r>
      <w:r>
        <w:tab/>
      </w:r>
      <w:proofErr w:type="gramStart"/>
      <w:r>
        <w:t>SWEPCO Ex. 49 at 3; SWEPCO Ex. 11 at 35.</w:t>
      </w:r>
      <w:proofErr w:type="gramEnd"/>
    </w:p>
  </w:footnote>
  <w:footnote w:id="139">
    <w:p w14:paraId="1FA8F7D8" w14:textId="77777777" w:rsidR="00BF1EC4" w:rsidRDefault="00BF1EC4" w:rsidP="007021FD">
      <w:pPr>
        <w:pStyle w:val="FootnoteText"/>
      </w:pPr>
      <w:r>
        <w:rPr>
          <w:rStyle w:val="FootnoteReference"/>
        </w:rPr>
        <w:footnoteRef/>
      </w:r>
      <w:r>
        <w:t xml:space="preserve"> </w:t>
      </w:r>
      <w:r>
        <w:tab/>
        <w:t>SWEPCO Ex. 43 at 6.</w:t>
      </w:r>
    </w:p>
  </w:footnote>
  <w:footnote w:id="140">
    <w:p w14:paraId="3038EDEA" w14:textId="77777777" w:rsidR="00BF1EC4" w:rsidRDefault="00BF1EC4" w:rsidP="007021FD">
      <w:pPr>
        <w:pStyle w:val="FootnoteText"/>
      </w:pPr>
      <w:r>
        <w:rPr>
          <w:rStyle w:val="FootnoteReference"/>
        </w:rPr>
        <w:footnoteRef/>
      </w:r>
      <w:r>
        <w:t xml:space="preserve"> </w:t>
      </w:r>
      <w:r>
        <w:tab/>
        <w:t>SWEPCO Ex. 11 at 39.</w:t>
      </w:r>
    </w:p>
  </w:footnote>
  <w:footnote w:id="141">
    <w:p w14:paraId="130BF8B0" w14:textId="77777777" w:rsidR="00BF1EC4" w:rsidRDefault="00BF1EC4" w:rsidP="007021FD">
      <w:pPr>
        <w:pStyle w:val="FootnoteText"/>
        <w:rPr>
          <w:u w:val="double"/>
        </w:rPr>
      </w:pPr>
      <w:r>
        <w:rPr>
          <w:rStyle w:val="FootnoteReference"/>
        </w:rPr>
        <w:footnoteRef/>
      </w:r>
      <w:r>
        <w:t xml:space="preserve"> </w:t>
      </w:r>
      <w:r>
        <w:tab/>
        <w:t>SWEPCO Ex. 10 at 11.</w:t>
      </w:r>
    </w:p>
  </w:footnote>
  <w:footnote w:id="142">
    <w:p w14:paraId="4D5020C6" w14:textId="77777777" w:rsidR="00BF1EC4" w:rsidRDefault="00BF1EC4" w:rsidP="007021FD">
      <w:pPr>
        <w:pStyle w:val="FootnoteText"/>
      </w:pPr>
      <w:r>
        <w:rPr>
          <w:rStyle w:val="FootnoteReference"/>
        </w:rPr>
        <w:footnoteRef/>
      </w:r>
      <w:r>
        <w:t xml:space="preserve"> </w:t>
      </w:r>
      <w:r>
        <w:tab/>
        <w:t>SWEPCO Ex. 10 at 14.</w:t>
      </w:r>
    </w:p>
  </w:footnote>
  <w:footnote w:id="143">
    <w:p w14:paraId="1606258C" w14:textId="77777777" w:rsidR="00BF1EC4" w:rsidRDefault="00BF1EC4" w:rsidP="007021FD">
      <w:pPr>
        <w:pStyle w:val="FootnoteText"/>
      </w:pPr>
      <w:r>
        <w:rPr>
          <w:rStyle w:val="FootnoteReference"/>
        </w:rPr>
        <w:footnoteRef/>
      </w:r>
      <w:r>
        <w:t xml:space="preserve"> </w:t>
      </w:r>
      <w:r>
        <w:tab/>
      </w:r>
      <w:proofErr w:type="gramStart"/>
      <w:r>
        <w:t>PFD at 75.</w:t>
      </w:r>
      <w:proofErr w:type="gramEnd"/>
    </w:p>
  </w:footnote>
  <w:footnote w:id="144">
    <w:p w14:paraId="04DB28A1" w14:textId="77777777" w:rsidR="00BF1EC4" w:rsidRDefault="00BF1EC4" w:rsidP="007021FD">
      <w:pPr>
        <w:pStyle w:val="FootnoteText"/>
      </w:pPr>
      <w:r>
        <w:rPr>
          <w:rStyle w:val="FootnoteReference"/>
        </w:rPr>
        <w:footnoteRef/>
      </w:r>
      <w:r>
        <w:t xml:space="preserve"> </w:t>
      </w:r>
      <w:r>
        <w:tab/>
        <w:t>SWEPCO Ex. 11 at 39-40.</w:t>
      </w:r>
    </w:p>
  </w:footnote>
  <w:footnote w:id="145">
    <w:p w14:paraId="66B267E0" w14:textId="77777777" w:rsidR="00BF1EC4" w:rsidRDefault="00BF1EC4" w:rsidP="007021FD">
      <w:pPr>
        <w:pStyle w:val="FootnoteText"/>
      </w:pPr>
      <w:r>
        <w:rPr>
          <w:rStyle w:val="FootnoteReference"/>
        </w:rPr>
        <w:footnoteRef/>
      </w:r>
      <w:r>
        <w:t xml:space="preserve"> </w:t>
      </w:r>
      <w:r>
        <w:tab/>
        <w:t>SWEPCO Ex. 11 at 40-41.</w:t>
      </w:r>
    </w:p>
  </w:footnote>
  <w:footnote w:id="146">
    <w:p w14:paraId="6547EFD6" w14:textId="77777777" w:rsidR="00BF1EC4" w:rsidRDefault="00BF1EC4" w:rsidP="007021FD">
      <w:pPr>
        <w:pStyle w:val="FootnoteText"/>
      </w:pPr>
      <w:r>
        <w:rPr>
          <w:rStyle w:val="FootnoteReference"/>
        </w:rPr>
        <w:footnoteRef/>
      </w:r>
      <w:r>
        <w:t xml:space="preserve"> </w:t>
      </w:r>
      <w:r>
        <w:tab/>
        <w:t>SWEPCO Ex. 11 at 41-42.</w:t>
      </w:r>
    </w:p>
  </w:footnote>
  <w:footnote w:id="147">
    <w:p w14:paraId="13C8E16D" w14:textId="77777777" w:rsidR="00BF1EC4" w:rsidRDefault="00BF1EC4" w:rsidP="007021FD">
      <w:pPr>
        <w:pStyle w:val="FootnoteText"/>
      </w:pPr>
      <w:r>
        <w:rPr>
          <w:rStyle w:val="FootnoteReference"/>
        </w:rPr>
        <w:footnoteRef/>
      </w:r>
      <w:r>
        <w:t xml:space="preserve"> </w:t>
      </w:r>
      <w:r>
        <w:tab/>
        <w:t>SWEPCO Ex. 11 at 42-43.</w:t>
      </w:r>
    </w:p>
  </w:footnote>
  <w:footnote w:id="148">
    <w:p w14:paraId="1C7CCFAB" w14:textId="77777777" w:rsidR="00BF1EC4" w:rsidRDefault="00BF1EC4" w:rsidP="007021FD">
      <w:pPr>
        <w:pStyle w:val="FootnoteText"/>
      </w:pPr>
      <w:r>
        <w:rPr>
          <w:rStyle w:val="FootnoteReference"/>
        </w:rPr>
        <w:footnoteRef/>
      </w:r>
      <w:r>
        <w:t xml:space="preserve"> </w:t>
      </w:r>
      <w:r>
        <w:tab/>
        <w:t>PFD at 86.</w:t>
      </w:r>
    </w:p>
  </w:footnote>
  <w:footnote w:id="149">
    <w:p w14:paraId="7B378804" w14:textId="77777777" w:rsidR="00BF1EC4" w:rsidRDefault="00BF1EC4" w:rsidP="007021FD">
      <w:pPr>
        <w:pStyle w:val="FootnoteText"/>
      </w:pPr>
      <w:r>
        <w:rPr>
          <w:rStyle w:val="FootnoteReference"/>
        </w:rPr>
        <w:footnoteRef/>
      </w:r>
      <w:r>
        <w:t xml:space="preserve"> </w:t>
      </w:r>
      <w:r>
        <w:tab/>
        <w:t>Tr. at 1091:23-1092:2 (McCellon-Allen Cross) (June 9, 2017).</w:t>
      </w:r>
    </w:p>
  </w:footnote>
  <w:footnote w:id="150">
    <w:p w14:paraId="1C6A0ACD" w14:textId="77777777" w:rsidR="00BF1EC4" w:rsidRDefault="00BF1EC4" w:rsidP="007021FD">
      <w:pPr>
        <w:pStyle w:val="FootnoteText"/>
      </w:pPr>
      <w:r>
        <w:rPr>
          <w:rStyle w:val="FootnoteReference"/>
        </w:rPr>
        <w:footnoteRef/>
      </w:r>
      <w:r>
        <w:t xml:space="preserve"> </w:t>
      </w:r>
      <w:r>
        <w:tab/>
        <w:t xml:space="preserve">PFD at 73-74, 84-85; Tr. at 1074:7-1076:5 (Nasi Redirect) (June </w:t>
      </w:r>
      <w:r w:rsidRPr="009D521C">
        <w:t>9, 2017</w:t>
      </w:r>
      <w:r>
        <w:t xml:space="preserve">); Direct Testimony of John C. Hendricks, SWEPCO Ex. 8 at 13-18 (PSD increment violation “alarmed” federal land manager, who opined that “corrective actions” may need to occur outside the confines of the particular Hugo Plant air permit then in issue). </w:t>
      </w:r>
    </w:p>
  </w:footnote>
  <w:footnote w:id="151">
    <w:p w14:paraId="2B2D0C00" w14:textId="77777777" w:rsidR="00BF1EC4" w:rsidRDefault="00BF1EC4" w:rsidP="007021FD">
      <w:pPr>
        <w:pStyle w:val="FootnoteText"/>
      </w:pPr>
      <w:r>
        <w:rPr>
          <w:rStyle w:val="FootnoteReference"/>
        </w:rPr>
        <w:footnoteRef/>
      </w:r>
      <w:r>
        <w:t xml:space="preserve"> </w:t>
      </w:r>
      <w:r>
        <w:tab/>
        <w:t>SWEPCO Ex. 8 at 20-21 (given status of environmental requirements in 2011, there was not an opportunity to operate Welsh Unit 2 for any substantial period of time without significant investments in controls for the unit); SWEPCO Ex. 11 at 37-38 (given the broad array of new regulations in the 2008-2011 period it was “clear that, if Welsh plant was to continue to operate, the Welsh units would require a substantial investment in environmental controls”).</w:t>
      </w:r>
    </w:p>
  </w:footnote>
  <w:footnote w:id="152">
    <w:p w14:paraId="7A32384F" w14:textId="77777777" w:rsidR="00BF1EC4" w:rsidRPr="000F5B91" w:rsidRDefault="00BF1EC4" w:rsidP="007021FD">
      <w:pPr>
        <w:pStyle w:val="FootnoteText"/>
      </w:pPr>
      <w:r>
        <w:rPr>
          <w:rStyle w:val="FootnoteReference"/>
        </w:rPr>
        <w:footnoteRef/>
      </w:r>
      <w:r>
        <w:t xml:space="preserve"> </w:t>
      </w:r>
      <w:r>
        <w:tab/>
      </w:r>
      <w:r>
        <w:rPr>
          <w:i/>
        </w:rPr>
        <w:t xml:space="preserve">See, e.g., </w:t>
      </w:r>
      <w:r>
        <w:t xml:space="preserve">Rebuttal Testimony of John C. Hendricks, SWEPCO Ex. 44 at 5-6 (EPA recently announced FIP that requires installation of scrubber at Welsh; Welsh remains at risk of requirement of significant SO2 emission reductions to satisfy Regional Haze Rule (RHR) requirements and to ongoing US EPA evaluation of NAAQS standard). </w:t>
      </w:r>
    </w:p>
  </w:footnote>
  <w:footnote w:id="153">
    <w:p w14:paraId="73A72682" w14:textId="77777777" w:rsidR="00BF1EC4" w:rsidRDefault="00BF1EC4" w:rsidP="007021FD">
      <w:pPr>
        <w:pStyle w:val="FootnoteText"/>
      </w:pPr>
      <w:r>
        <w:rPr>
          <w:rStyle w:val="FootnoteReference"/>
        </w:rPr>
        <w:footnoteRef/>
      </w:r>
      <w:r>
        <w:t xml:space="preserve"> </w:t>
      </w:r>
      <w:r>
        <w:tab/>
        <w:t>SWEPCO Ex. 11 at 9.</w:t>
      </w:r>
    </w:p>
  </w:footnote>
  <w:footnote w:id="154">
    <w:p w14:paraId="6E7D3426" w14:textId="77777777" w:rsidR="00BF1EC4" w:rsidRDefault="00BF1EC4" w:rsidP="007021FD">
      <w:pPr>
        <w:pStyle w:val="FootnoteText"/>
      </w:pPr>
      <w:r>
        <w:rPr>
          <w:rStyle w:val="FootnoteReference"/>
        </w:rPr>
        <w:footnoteRef/>
      </w:r>
      <w:r>
        <w:t xml:space="preserve"> </w:t>
      </w:r>
      <w:r>
        <w:tab/>
        <w:t>SWEPCO Ex. 11 at 6.</w:t>
      </w:r>
    </w:p>
  </w:footnote>
  <w:footnote w:id="155">
    <w:p w14:paraId="5446776F" w14:textId="77777777" w:rsidR="00BF1EC4" w:rsidRDefault="00BF1EC4" w:rsidP="007021FD">
      <w:pPr>
        <w:pStyle w:val="FootnoteText"/>
      </w:pPr>
      <w:r>
        <w:rPr>
          <w:rStyle w:val="FootnoteReference"/>
        </w:rPr>
        <w:footnoteRef/>
      </w:r>
      <w:r>
        <w:t xml:space="preserve"> </w:t>
      </w:r>
      <w:r>
        <w:tab/>
        <w:t>SWEPCO Ex. 11 at 12.</w:t>
      </w:r>
    </w:p>
  </w:footnote>
  <w:footnote w:id="156">
    <w:p w14:paraId="2E60D13D" w14:textId="77777777" w:rsidR="00BF1EC4" w:rsidRDefault="00BF1EC4" w:rsidP="007021FD">
      <w:pPr>
        <w:pStyle w:val="FootnoteText"/>
      </w:pPr>
      <w:r>
        <w:rPr>
          <w:rStyle w:val="FootnoteReference"/>
        </w:rPr>
        <w:footnoteRef/>
      </w:r>
      <w:r>
        <w:t xml:space="preserve"> </w:t>
      </w:r>
      <w:r>
        <w:tab/>
        <w:t>SWEPCO Ex. 44 at 2.</w:t>
      </w:r>
    </w:p>
  </w:footnote>
  <w:footnote w:id="157">
    <w:p w14:paraId="5347EAEC" w14:textId="77777777" w:rsidR="00BF1EC4" w:rsidRDefault="00BF1EC4" w:rsidP="007021FD">
      <w:pPr>
        <w:pStyle w:val="FootnoteText"/>
      </w:pPr>
      <w:r>
        <w:rPr>
          <w:rStyle w:val="FootnoteReference"/>
        </w:rPr>
        <w:footnoteRef/>
      </w:r>
      <w:r>
        <w:t xml:space="preserve"> </w:t>
      </w:r>
      <w:r>
        <w:tab/>
        <w:t>Tr. at 1074:1-1076 (Nasi Redirect) (June 9, 2017); SWEPCO Ex. 8 at 13, 19-10.</w:t>
      </w:r>
    </w:p>
  </w:footnote>
  <w:footnote w:id="158">
    <w:p w14:paraId="090C50CE" w14:textId="77777777" w:rsidR="00BF1EC4" w:rsidRDefault="00BF1EC4" w:rsidP="007021FD">
      <w:pPr>
        <w:pStyle w:val="FootnoteText"/>
      </w:pPr>
      <w:r>
        <w:rPr>
          <w:rStyle w:val="FootnoteReference"/>
        </w:rPr>
        <w:footnoteRef/>
      </w:r>
      <w:r>
        <w:t xml:space="preserve"> </w:t>
      </w:r>
      <w:r>
        <w:tab/>
      </w:r>
      <w:proofErr w:type="gramStart"/>
      <w:r>
        <w:t>CARD Initial Brief at 10.</w:t>
      </w:r>
      <w:proofErr w:type="gramEnd"/>
    </w:p>
  </w:footnote>
  <w:footnote w:id="159">
    <w:p w14:paraId="3884A5FC" w14:textId="77777777" w:rsidR="00BF1EC4" w:rsidRDefault="00BF1EC4" w:rsidP="007021FD">
      <w:pPr>
        <w:pStyle w:val="FootnoteText"/>
      </w:pPr>
      <w:r>
        <w:rPr>
          <w:rStyle w:val="FootnoteReference"/>
        </w:rPr>
        <w:footnoteRef/>
      </w:r>
      <w:r>
        <w:t xml:space="preserve"> </w:t>
      </w:r>
      <w:r>
        <w:tab/>
      </w:r>
      <w:proofErr w:type="gramStart"/>
      <w:r>
        <w:t>SWEPCO Ex. 44 at 2-4; SWEPCO Ex. 43 at 10.</w:t>
      </w:r>
      <w:proofErr w:type="gramEnd"/>
    </w:p>
  </w:footnote>
  <w:footnote w:id="160">
    <w:p w14:paraId="53E08265" w14:textId="77777777" w:rsidR="00BF1EC4" w:rsidRPr="009E0D4E" w:rsidRDefault="00BF1EC4" w:rsidP="007021FD">
      <w:pPr>
        <w:pStyle w:val="FootnoteText"/>
      </w:pPr>
      <w:r>
        <w:rPr>
          <w:rStyle w:val="FootnoteReference"/>
        </w:rPr>
        <w:footnoteRef/>
      </w:r>
      <w:r>
        <w:t xml:space="preserve"> </w:t>
      </w:r>
      <w:r>
        <w:tab/>
      </w:r>
      <w:r>
        <w:rPr>
          <w:i/>
        </w:rPr>
        <w:t xml:space="preserve">See </w:t>
      </w:r>
      <w:r>
        <w:t xml:space="preserve">SWEPCO Ex. 43 at 15-16, Exhibit MJN-1R at 1-2 (citing investment in scrubber technology to address SO2); SWEPCO Ex. 8 at 5 (wet FGD systems used to address SO2 under MATS). </w:t>
      </w:r>
    </w:p>
  </w:footnote>
  <w:footnote w:id="161">
    <w:p w14:paraId="66F75254" w14:textId="77777777" w:rsidR="00BF1EC4" w:rsidRDefault="00BF1EC4" w:rsidP="007021FD">
      <w:pPr>
        <w:pStyle w:val="FootnoteText"/>
      </w:pPr>
      <w:r>
        <w:rPr>
          <w:rStyle w:val="FootnoteReference"/>
        </w:rPr>
        <w:footnoteRef/>
      </w:r>
      <w:r>
        <w:t xml:space="preserve"> </w:t>
      </w:r>
      <w:r>
        <w:tab/>
        <w:t>SWEPCO Ex. 43 at 16.</w:t>
      </w:r>
    </w:p>
  </w:footnote>
  <w:footnote w:id="162">
    <w:p w14:paraId="391E4119" w14:textId="77777777" w:rsidR="00BF1EC4" w:rsidRDefault="00BF1EC4" w:rsidP="007021FD">
      <w:pPr>
        <w:pStyle w:val="FootnoteText"/>
      </w:pPr>
      <w:r>
        <w:rPr>
          <w:rStyle w:val="FootnoteReference"/>
        </w:rPr>
        <w:footnoteRef/>
      </w:r>
      <w:r>
        <w:t xml:space="preserve"> </w:t>
      </w:r>
      <w:r>
        <w:tab/>
        <w:t>Rebuttal Testimony of Mark A. Becker, SWEPCO Ex. 46 at 13; SWEPCO’s response to OPUC 1-8, Sierra Club Ex. 2 at Attachment 1, Table 3 workpaper.</w:t>
      </w:r>
    </w:p>
  </w:footnote>
  <w:footnote w:id="163">
    <w:p w14:paraId="58B43B17" w14:textId="77777777" w:rsidR="00BF1EC4" w:rsidRPr="009D1749" w:rsidRDefault="00BF1EC4" w:rsidP="007021FD">
      <w:pPr>
        <w:pStyle w:val="FootnoteText"/>
      </w:pPr>
      <w:r>
        <w:rPr>
          <w:rStyle w:val="FootnoteReference"/>
        </w:rPr>
        <w:footnoteRef/>
      </w:r>
      <w:r>
        <w:t xml:space="preserve"> </w:t>
      </w:r>
      <w:r>
        <w:tab/>
      </w:r>
      <w:r w:rsidRPr="00303802">
        <w:rPr>
          <w:i/>
        </w:rPr>
        <w:t>Id</w:t>
      </w:r>
      <w:r>
        <w:t>.</w:t>
      </w:r>
    </w:p>
  </w:footnote>
  <w:footnote w:id="164">
    <w:p w14:paraId="154BC77C" w14:textId="77777777" w:rsidR="00BF1EC4" w:rsidRDefault="00BF1EC4" w:rsidP="007021FD">
      <w:pPr>
        <w:pStyle w:val="FootnoteText"/>
      </w:pPr>
      <w:r>
        <w:rPr>
          <w:rStyle w:val="FootnoteReference"/>
        </w:rPr>
        <w:footnoteRef/>
      </w:r>
      <w:r>
        <w:t xml:space="preserve"> </w:t>
      </w:r>
      <w:r>
        <w:tab/>
        <w:t>At hearing, CARD witness Mr. Norwood</w:t>
      </w:r>
      <w:r w:rsidRPr="00DE7DA7">
        <w:t xml:space="preserve"> acknowledged his initial conclusion that the environmental compliance costs at Welsh Unit 2 would be zero fo</w:t>
      </w:r>
      <w:r>
        <w:t xml:space="preserve">r the period from 2011 to 2040 </w:t>
      </w:r>
      <w:r w:rsidRPr="00DE7DA7">
        <w:t>was incorrect, and that the retrofit costs associated with MATS and CSAPR compliance would “certainly” be more than zero.</w:t>
      </w:r>
      <w:r>
        <w:t xml:space="preserve">  </w:t>
      </w:r>
      <w:r w:rsidRPr="00DE7DA7">
        <w:t xml:space="preserve">Tr. at 969:9-970:3 (Norwood Cross) (June 9, 2017). </w:t>
      </w:r>
      <w:r>
        <w:t xml:space="preserve"> </w:t>
      </w:r>
    </w:p>
  </w:footnote>
  <w:footnote w:id="165">
    <w:p w14:paraId="1730A9A1" w14:textId="77777777" w:rsidR="00BF1EC4" w:rsidRDefault="00BF1EC4" w:rsidP="007021FD">
      <w:pPr>
        <w:pStyle w:val="FootnoteText"/>
      </w:pPr>
      <w:r>
        <w:rPr>
          <w:rStyle w:val="FootnoteReference"/>
        </w:rPr>
        <w:footnoteRef/>
      </w:r>
      <w:r>
        <w:t xml:space="preserve"> </w:t>
      </w:r>
      <w:r>
        <w:tab/>
        <w:t>SWEPCO Ex. 43 at 11.</w:t>
      </w:r>
    </w:p>
  </w:footnote>
  <w:footnote w:id="166">
    <w:p w14:paraId="40E84733" w14:textId="77777777" w:rsidR="00BF1EC4" w:rsidRDefault="00BF1EC4" w:rsidP="007021FD">
      <w:pPr>
        <w:pStyle w:val="FootnoteText"/>
      </w:pPr>
      <w:r>
        <w:rPr>
          <w:rStyle w:val="FootnoteReference"/>
        </w:rPr>
        <w:footnoteRef/>
      </w:r>
      <w:r>
        <w:t xml:space="preserve"> </w:t>
      </w:r>
      <w:r>
        <w:tab/>
        <w:t>SWEPCO Ex. 44 at 6-8.</w:t>
      </w:r>
    </w:p>
  </w:footnote>
  <w:footnote w:id="167">
    <w:p w14:paraId="2A0054D5" w14:textId="77777777" w:rsidR="00BF1EC4" w:rsidRDefault="00BF1EC4" w:rsidP="007021FD">
      <w:pPr>
        <w:pStyle w:val="FootnoteText"/>
      </w:pPr>
      <w:r>
        <w:rPr>
          <w:rStyle w:val="FootnoteReference"/>
        </w:rPr>
        <w:footnoteRef/>
      </w:r>
      <w:r>
        <w:t xml:space="preserve"> </w:t>
      </w:r>
      <w:r>
        <w:tab/>
        <w:t>SWEPCO Ex. 7 at 29-32.</w:t>
      </w:r>
    </w:p>
  </w:footnote>
  <w:footnote w:id="168">
    <w:p w14:paraId="69C33908" w14:textId="77777777" w:rsidR="00BF1EC4" w:rsidRDefault="00BF1EC4" w:rsidP="007021FD">
      <w:pPr>
        <w:pStyle w:val="FootnoteText"/>
      </w:pPr>
      <w:r>
        <w:rPr>
          <w:rStyle w:val="FootnoteReference"/>
        </w:rPr>
        <w:footnoteRef/>
      </w:r>
      <w:r>
        <w:t xml:space="preserve"> </w:t>
      </w:r>
      <w:r>
        <w:tab/>
        <w:t xml:space="preserve">Tr. at 2004:16-18 (Becker Cross) (June 9, 2017).  </w:t>
      </w:r>
    </w:p>
  </w:footnote>
  <w:footnote w:id="169">
    <w:p w14:paraId="016FD6F4" w14:textId="77777777" w:rsidR="00BF1EC4" w:rsidRDefault="00BF1EC4" w:rsidP="007021FD">
      <w:pPr>
        <w:pStyle w:val="FootnoteText"/>
      </w:pPr>
      <w:r>
        <w:rPr>
          <w:rStyle w:val="FootnoteReference"/>
        </w:rPr>
        <w:footnoteRef/>
      </w:r>
      <w:r>
        <w:t xml:space="preserve"> </w:t>
      </w:r>
      <w:r>
        <w:tab/>
        <w:t>SWEPCO Ex. 43 at 13-14; SWEPCO Ex. 44 at 8-9; SWEPCO Ex. 48 at 34-37.</w:t>
      </w:r>
    </w:p>
  </w:footnote>
  <w:footnote w:id="170">
    <w:p w14:paraId="3A960976" w14:textId="77777777" w:rsidR="00BF1EC4" w:rsidRDefault="00BF1EC4" w:rsidP="007021FD">
      <w:pPr>
        <w:pStyle w:val="FootnoteText"/>
      </w:pPr>
      <w:r>
        <w:rPr>
          <w:rStyle w:val="FootnoteReference"/>
        </w:rPr>
        <w:footnoteRef/>
      </w:r>
      <w:r>
        <w:t xml:space="preserve"> </w:t>
      </w:r>
      <w:r>
        <w:tab/>
        <w:t>PFD at 78-79; s</w:t>
      </w:r>
      <w:r>
        <w:rPr>
          <w:i/>
        </w:rPr>
        <w:t>ee</w:t>
      </w:r>
      <w:r>
        <w:t xml:space="preserve"> 75 Fed. Reg. 82,392 (Dec. 30, 2010) (notice of Settlement Agreement in </w:t>
      </w:r>
      <w:r>
        <w:rPr>
          <w:i/>
        </w:rPr>
        <w:t>State of New York, et al. v. EPA</w:t>
      </w:r>
      <w:r>
        <w:t xml:space="preserve">, No. 06-1322 (2d Cir.), requiring EPA to issue regulations for carbon emissions from new and existing sources by a certain date and following the Supreme Court’s decision in </w:t>
      </w:r>
      <w:r>
        <w:rPr>
          <w:i/>
        </w:rPr>
        <w:t>Massachusetts v. EPA</w:t>
      </w:r>
      <w:r>
        <w:t>, 549 U.S. 497 (2007)).</w:t>
      </w:r>
    </w:p>
  </w:footnote>
  <w:footnote w:id="171">
    <w:p w14:paraId="28F5BDE6" w14:textId="77777777" w:rsidR="00BF1EC4" w:rsidRDefault="00BF1EC4" w:rsidP="007021FD">
      <w:pPr>
        <w:pStyle w:val="FootnoteText"/>
      </w:pPr>
      <w:r>
        <w:rPr>
          <w:rStyle w:val="FootnoteReference"/>
        </w:rPr>
        <w:footnoteRef/>
      </w:r>
      <w:r>
        <w:t xml:space="preserve"> </w:t>
      </w:r>
      <w:r>
        <w:tab/>
      </w:r>
      <w:r w:rsidRPr="00FC5F95">
        <w:rPr>
          <w:i/>
        </w:rPr>
        <w:t>See</w:t>
      </w:r>
      <w:r>
        <w:t xml:space="preserve"> </w:t>
      </w:r>
      <w:r>
        <w:rPr>
          <w:i/>
        </w:rPr>
        <w:t xml:space="preserve">Application of Southwestern Electric Power Company for Certificate of Convenience and Necessity Authorization for a Coal Fired Power Plant in Arkansas, </w:t>
      </w:r>
      <w:r>
        <w:t xml:space="preserve">Docket No. 33891, Order at 8 (imposing carbon-related cost cap as condition of CCN) (Aug. 12, 2008); </w:t>
      </w:r>
      <w:r w:rsidRPr="00420FF3">
        <w:rPr>
          <w:i/>
        </w:rPr>
        <w:t>see</w:t>
      </w:r>
      <w:r>
        <w:t xml:space="preserve"> Tr. at 1896:13-1899:22 (Hendricks Redirect) (June 14, 2017) (discussing Docket No. 33891 consideration of carbon costs).  </w:t>
      </w:r>
    </w:p>
  </w:footnote>
  <w:footnote w:id="172">
    <w:p w14:paraId="7682F12D" w14:textId="77777777" w:rsidR="00BF1EC4" w:rsidRDefault="00BF1EC4" w:rsidP="007021FD">
      <w:pPr>
        <w:pStyle w:val="FootnoteText"/>
      </w:pPr>
      <w:r w:rsidRPr="0088057A">
        <w:rPr>
          <w:rStyle w:val="FootnoteReference"/>
        </w:rPr>
        <w:footnoteRef/>
      </w:r>
      <w:r w:rsidRPr="0088057A">
        <w:t xml:space="preserve"> </w:t>
      </w:r>
      <w:r w:rsidRPr="0088057A">
        <w:tab/>
        <w:t>Sierra Club Ex. 22 at 38-39.</w:t>
      </w:r>
    </w:p>
  </w:footnote>
  <w:footnote w:id="173">
    <w:p w14:paraId="186B3646" w14:textId="77777777" w:rsidR="00BF1EC4" w:rsidRDefault="00BF1EC4" w:rsidP="007021FD">
      <w:pPr>
        <w:pStyle w:val="FootnoteText"/>
      </w:pPr>
      <w:r>
        <w:rPr>
          <w:rStyle w:val="FootnoteReference"/>
        </w:rPr>
        <w:footnoteRef/>
      </w:r>
      <w:r>
        <w:t xml:space="preserve"> </w:t>
      </w:r>
      <w:r>
        <w:tab/>
        <w:t>SWEPCO Ex. 8 at 1-2.</w:t>
      </w:r>
    </w:p>
  </w:footnote>
  <w:footnote w:id="174">
    <w:p w14:paraId="640DD6B2" w14:textId="77777777" w:rsidR="00BF1EC4" w:rsidRDefault="00BF1EC4" w:rsidP="007021FD">
      <w:pPr>
        <w:pStyle w:val="FootnoteText"/>
      </w:pPr>
      <w:r>
        <w:rPr>
          <w:rStyle w:val="FootnoteReference"/>
        </w:rPr>
        <w:footnoteRef/>
      </w:r>
      <w:r>
        <w:t xml:space="preserve"> </w:t>
      </w:r>
      <w:r>
        <w:tab/>
        <w:t>Tr. at 1893:5-8 (Hendricks Cross) (June 14, 2017).</w:t>
      </w:r>
    </w:p>
  </w:footnote>
  <w:footnote w:id="175">
    <w:p w14:paraId="01F25E82" w14:textId="77777777" w:rsidR="00BF1EC4" w:rsidRDefault="00BF1EC4" w:rsidP="007021FD">
      <w:pPr>
        <w:pStyle w:val="FootnoteText"/>
      </w:pPr>
      <w:r>
        <w:rPr>
          <w:rStyle w:val="FootnoteReference"/>
        </w:rPr>
        <w:footnoteRef/>
      </w:r>
      <w:r>
        <w:t xml:space="preserve"> </w:t>
      </w:r>
      <w:r>
        <w:tab/>
        <w:t>SWEPCO Ex. 43 at 5.</w:t>
      </w:r>
    </w:p>
  </w:footnote>
  <w:footnote w:id="176">
    <w:p w14:paraId="4A204DA9" w14:textId="77777777" w:rsidR="00BF1EC4" w:rsidRDefault="00BF1EC4" w:rsidP="007021FD">
      <w:pPr>
        <w:pStyle w:val="FootnoteText"/>
      </w:pPr>
      <w:r>
        <w:rPr>
          <w:rStyle w:val="FootnoteReference"/>
        </w:rPr>
        <w:footnoteRef/>
      </w:r>
      <w:r>
        <w:t xml:space="preserve"> </w:t>
      </w:r>
      <w:r>
        <w:tab/>
      </w:r>
      <w:r>
        <w:rPr>
          <w:i/>
        </w:rPr>
        <w:t>See, e.g.,</w:t>
      </w:r>
      <w:r>
        <w:t xml:space="preserve"> Direct Testimony of Scott Norwood, CARD Ex. 3 at 16:5-7.</w:t>
      </w:r>
    </w:p>
  </w:footnote>
  <w:footnote w:id="177">
    <w:p w14:paraId="54501B38" w14:textId="77777777" w:rsidR="00BF1EC4" w:rsidRDefault="00BF1EC4" w:rsidP="007021FD">
      <w:pPr>
        <w:pStyle w:val="FootnoteText"/>
      </w:pPr>
      <w:r>
        <w:rPr>
          <w:rStyle w:val="FootnoteReference"/>
        </w:rPr>
        <w:footnoteRef/>
      </w:r>
      <w:r>
        <w:t xml:space="preserve"> </w:t>
      </w:r>
      <w:r>
        <w:tab/>
        <w:t>SWEPCO Ex. 43 at 6:9-15.</w:t>
      </w:r>
    </w:p>
  </w:footnote>
  <w:footnote w:id="178">
    <w:p w14:paraId="2031277C" w14:textId="77777777" w:rsidR="00BF1EC4" w:rsidRDefault="00BF1EC4" w:rsidP="007021FD">
      <w:pPr>
        <w:pStyle w:val="FootnoteText"/>
      </w:pPr>
      <w:r w:rsidRPr="00D35693">
        <w:rPr>
          <w:rStyle w:val="FootnoteReference"/>
        </w:rPr>
        <w:footnoteRef/>
      </w:r>
      <w:r w:rsidRPr="00D35693">
        <w:t xml:space="preserve"> </w:t>
      </w:r>
      <w:r w:rsidRPr="00D35693">
        <w:tab/>
        <w:t>SWEPCO Ex. 44 at 1-9; SWEPCO Ex. 43 at 4-14.</w:t>
      </w:r>
    </w:p>
  </w:footnote>
  <w:footnote w:id="179">
    <w:p w14:paraId="18C4885B" w14:textId="77777777" w:rsidR="00BF1EC4" w:rsidRDefault="00BF1EC4" w:rsidP="007021FD">
      <w:pPr>
        <w:pStyle w:val="FootnoteText"/>
      </w:pPr>
      <w:r>
        <w:rPr>
          <w:rStyle w:val="FootnoteReference"/>
        </w:rPr>
        <w:footnoteRef/>
      </w:r>
      <w:r>
        <w:t xml:space="preserve"> </w:t>
      </w:r>
      <w:r>
        <w:tab/>
        <w:t xml:space="preserve">SWEPCO Ex. 44 at 1-8; SWEPCO Ex. 43 at 4-12.  Ms. McCellon Allen’s rebuttal summarized the tidal wave of challenges SWEPCO faced related to the Welsh Unit 2 retirement decision.  SWEPCO Ex. 49 at 3. </w:t>
      </w:r>
    </w:p>
  </w:footnote>
  <w:footnote w:id="180">
    <w:p w14:paraId="46AFC966" w14:textId="77777777" w:rsidR="00BF1EC4" w:rsidRDefault="00BF1EC4" w:rsidP="007021FD">
      <w:pPr>
        <w:pStyle w:val="FootnoteText"/>
      </w:pPr>
      <w:r>
        <w:rPr>
          <w:rStyle w:val="FootnoteReference"/>
        </w:rPr>
        <w:footnoteRef/>
      </w:r>
      <w:r>
        <w:t xml:space="preserve"> </w:t>
      </w:r>
      <w:r>
        <w:tab/>
        <w:t>SWEPCO Ex. 43 at 8; SWEPCO Ex. 44 at 9, Table 1 (Compliance deadlines as of mid-2011); SWEPCO Ex. 49 at 6-7 (SWEPCO worked with an extremely tight MATS deadline for the Welsh units).</w:t>
      </w:r>
    </w:p>
  </w:footnote>
  <w:footnote w:id="181">
    <w:p w14:paraId="60CE2CB0" w14:textId="77777777" w:rsidR="00BF1EC4" w:rsidRDefault="00BF1EC4" w:rsidP="007021FD">
      <w:pPr>
        <w:pStyle w:val="FootnoteText"/>
      </w:pPr>
      <w:r>
        <w:rPr>
          <w:rStyle w:val="FootnoteReference"/>
        </w:rPr>
        <w:footnoteRef/>
      </w:r>
      <w:r>
        <w:t xml:space="preserve"> </w:t>
      </w:r>
      <w:r>
        <w:tab/>
        <w:t>CARD Ex. 3 at 14-1</w:t>
      </w:r>
      <w:r w:rsidRPr="00E861F6">
        <w:t>5</w:t>
      </w:r>
      <w:r>
        <w:t>.</w:t>
      </w:r>
    </w:p>
  </w:footnote>
  <w:footnote w:id="182">
    <w:p w14:paraId="60954596" w14:textId="77777777" w:rsidR="00BF1EC4" w:rsidRDefault="00BF1EC4" w:rsidP="007021FD">
      <w:pPr>
        <w:pStyle w:val="FootnoteText"/>
      </w:pPr>
      <w:r>
        <w:rPr>
          <w:rStyle w:val="FootnoteReference"/>
        </w:rPr>
        <w:footnoteRef/>
      </w:r>
      <w:r>
        <w:t xml:space="preserve"> </w:t>
      </w:r>
      <w:r>
        <w:tab/>
        <w:t>SWEPCO Ex. 43 at 8.</w:t>
      </w:r>
    </w:p>
  </w:footnote>
  <w:footnote w:id="183">
    <w:p w14:paraId="599B69AD" w14:textId="77777777" w:rsidR="00BF1EC4" w:rsidRDefault="00BF1EC4" w:rsidP="007021FD">
      <w:pPr>
        <w:pStyle w:val="FootnoteText"/>
      </w:pPr>
      <w:r>
        <w:rPr>
          <w:rStyle w:val="FootnoteReference"/>
        </w:rPr>
        <w:footnoteRef/>
      </w:r>
      <w:r>
        <w:t xml:space="preserve"> </w:t>
      </w:r>
      <w:r>
        <w:tab/>
        <w:t>SWEPCO Ex. 43 at 8.</w:t>
      </w:r>
    </w:p>
  </w:footnote>
  <w:footnote w:id="184">
    <w:p w14:paraId="3A31F80D" w14:textId="77777777" w:rsidR="00BF1EC4" w:rsidRDefault="00BF1EC4" w:rsidP="007021FD">
      <w:pPr>
        <w:pStyle w:val="FootnoteText"/>
      </w:pPr>
      <w:r>
        <w:rPr>
          <w:rStyle w:val="FootnoteReference"/>
        </w:rPr>
        <w:footnoteRef/>
      </w:r>
      <w:r>
        <w:t xml:space="preserve"> </w:t>
      </w:r>
      <w:r>
        <w:tab/>
      </w:r>
      <w:r>
        <w:rPr>
          <w:i/>
        </w:rPr>
        <w:t xml:space="preserve">See </w:t>
      </w:r>
      <w:r w:rsidRPr="00722717">
        <w:t>PFD at 86</w:t>
      </w:r>
      <w:r>
        <w:rPr>
          <w:i/>
        </w:rPr>
        <w:t xml:space="preserve">; </w:t>
      </w:r>
      <w:r>
        <w:t>SWEPCO Ex. 49 at 8 (describing MATS and NAAQs deadlines); SWEPCO Ex. 44 at 3-4 (describing NAAQs technology requirements).</w:t>
      </w:r>
    </w:p>
  </w:footnote>
  <w:footnote w:id="185">
    <w:p w14:paraId="2A05DB46" w14:textId="77777777" w:rsidR="00BF1EC4" w:rsidRDefault="00BF1EC4" w:rsidP="007021FD">
      <w:pPr>
        <w:pStyle w:val="FootnoteText"/>
      </w:pPr>
      <w:r>
        <w:rPr>
          <w:rStyle w:val="FootnoteReference"/>
        </w:rPr>
        <w:footnoteRef/>
      </w:r>
      <w:r>
        <w:t xml:space="preserve"> </w:t>
      </w:r>
      <w:r>
        <w:tab/>
      </w:r>
      <w:proofErr w:type="gramStart"/>
      <w:r>
        <w:t>SWEPCO Ex. 43 at 18-22; SWEPCO Ex. 49, Exhibit VMA-2R at 5.</w:t>
      </w:r>
      <w:proofErr w:type="gramEnd"/>
    </w:p>
  </w:footnote>
  <w:footnote w:id="186">
    <w:p w14:paraId="3DB9CA05" w14:textId="77777777" w:rsidR="00BF1EC4" w:rsidRDefault="00BF1EC4" w:rsidP="007021FD">
      <w:pPr>
        <w:pStyle w:val="FootnoteText"/>
      </w:pPr>
      <w:r>
        <w:rPr>
          <w:rStyle w:val="FootnoteReference"/>
        </w:rPr>
        <w:footnoteRef/>
      </w:r>
      <w:r>
        <w:t xml:space="preserve"> </w:t>
      </w:r>
      <w:r>
        <w:tab/>
        <w:t>SWEPCO Ex. 43 at 9-10 (citing U.S. EIA report).</w:t>
      </w:r>
    </w:p>
  </w:footnote>
  <w:footnote w:id="187">
    <w:p w14:paraId="1B88077F" w14:textId="77777777" w:rsidR="00BF1EC4" w:rsidRDefault="00BF1EC4" w:rsidP="007021FD">
      <w:pPr>
        <w:pStyle w:val="FootnoteText"/>
      </w:pPr>
      <w:r>
        <w:rPr>
          <w:rStyle w:val="FootnoteReference"/>
        </w:rPr>
        <w:footnoteRef/>
      </w:r>
      <w:r>
        <w:t xml:space="preserve"> </w:t>
      </w:r>
      <w:r>
        <w:tab/>
        <w:t>PFD at 77-78; SWEPCO Ex. 49 at 9-10.</w:t>
      </w:r>
    </w:p>
  </w:footnote>
  <w:footnote w:id="188">
    <w:p w14:paraId="4C945945" w14:textId="77777777" w:rsidR="00BF1EC4" w:rsidRDefault="00BF1EC4" w:rsidP="00111483">
      <w:pPr>
        <w:pStyle w:val="FootnoteText"/>
      </w:pPr>
      <w:r>
        <w:rPr>
          <w:rStyle w:val="FootnoteReference"/>
        </w:rPr>
        <w:footnoteRef/>
      </w:r>
      <w:r>
        <w:t xml:space="preserve"> </w:t>
      </w:r>
      <w:r>
        <w:tab/>
      </w:r>
      <w:r>
        <w:rPr>
          <w:i/>
        </w:rPr>
        <w:t xml:space="preserve">Application of Southwestern Electric Power Company for Authority to Change Rates and Reconcile Fuel Costs, </w:t>
      </w:r>
      <w:r>
        <w:t>Docket No. 40443, Order on Rehearing at 8 (Mar. 6, 2014).</w:t>
      </w:r>
    </w:p>
  </w:footnote>
  <w:footnote w:id="189">
    <w:p w14:paraId="72318681" w14:textId="77777777" w:rsidR="00BF1EC4" w:rsidRPr="003826A1" w:rsidRDefault="00BF1EC4" w:rsidP="00111483">
      <w:pPr>
        <w:pStyle w:val="FootnoteText"/>
      </w:pPr>
      <w:r>
        <w:rPr>
          <w:rStyle w:val="FootnoteReference"/>
        </w:rPr>
        <w:footnoteRef/>
      </w:r>
      <w:r>
        <w:t xml:space="preserve"> </w:t>
      </w:r>
      <w:r>
        <w:tab/>
      </w:r>
      <w:r>
        <w:rPr>
          <w:i/>
        </w:rPr>
        <w:t xml:space="preserve">See also </w:t>
      </w:r>
      <w:r>
        <w:t>SWEPCO Ex. 49 at 15-18.</w:t>
      </w:r>
    </w:p>
  </w:footnote>
  <w:footnote w:id="190">
    <w:p w14:paraId="7101E5EA" w14:textId="77777777" w:rsidR="00BF1EC4" w:rsidRDefault="00BF1EC4" w:rsidP="00111483">
      <w:pPr>
        <w:pStyle w:val="FootnoteText"/>
      </w:pPr>
      <w:r>
        <w:rPr>
          <w:rStyle w:val="FootnoteReference"/>
        </w:rPr>
        <w:footnoteRef/>
      </w:r>
      <w:r>
        <w:t xml:space="preserve"> </w:t>
      </w:r>
      <w:r>
        <w:tab/>
        <w:t>Docket No. 40443, Order on Rehearing at Finding of Fact (FoF) 80.</w:t>
      </w:r>
    </w:p>
  </w:footnote>
  <w:footnote w:id="191">
    <w:p w14:paraId="70DE4727" w14:textId="77777777" w:rsidR="00BF1EC4" w:rsidRDefault="00BF1EC4" w:rsidP="00111483">
      <w:pPr>
        <w:pStyle w:val="FootnoteText"/>
      </w:pPr>
      <w:r>
        <w:rPr>
          <w:rStyle w:val="FootnoteReference"/>
        </w:rPr>
        <w:footnoteRef/>
      </w:r>
      <w:r>
        <w:t xml:space="preserve"> </w:t>
      </w:r>
      <w:r>
        <w:tab/>
        <w:t>Docket No. 40443, Order on Rehearing at FoF 80A.</w:t>
      </w:r>
    </w:p>
  </w:footnote>
  <w:footnote w:id="192">
    <w:p w14:paraId="1A5C9AD5" w14:textId="77777777" w:rsidR="00BF1EC4" w:rsidRDefault="00BF1EC4" w:rsidP="00111483">
      <w:pPr>
        <w:pStyle w:val="FootnoteText"/>
      </w:pPr>
      <w:r>
        <w:rPr>
          <w:rStyle w:val="FootnoteReference"/>
        </w:rPr>
        <w:footnoteRef/>
      </w:r>
      <w:r>
        <w:t xml:space="preserve"> </w:t>
      </w:r>
      <w:r>
        <w:tab/>
      </w:r>
      <w:proofErr w:type="gramStart"/>
      <w:r>
        <w:t>CARD Exceptions at 9.</w:t>
      </w:r>
      <w:proofErr w:type="gramEnd"/>
    </w:p>
  </w:footnote>
  <w:footnote w:id="193">
    <w:p w14:paraId="6DAC9400" w14:textId="77777777" w:rsidR="00BF1EC4" w:rsidRDefault="00BF1EC4" w:rsidP="00111483">
      <w:pPr>
        <w:pStyle w:val="FootnoteText"/>
      </w:pPr>
      <w:r>
        <w:rPr>
          <w:rStyle w:val="FootnoteReference"/>
        </w:rPr>
        <w:footnoteRef/>
      </w:r>
      <w:r>
        <w:t xml:space="preserve"> </w:t>
      </w:r>
      <w:r>
        <w:tab/>
      </w:r>
      <w:proofErr w:type="gramStart"/>
      <w:r>
        <w:t>PFD at FoF 22.</w:t>
      </w:r>
      <w:proofErr w:type="gramEnd"/>
    </w:p>
  </w:footnote>
  <w:footnote w:id="194">
    <w:p w14:paraId="10B6ADCD" w14:textId="77777777" w:rsidR="00BF1EC4" w:rsidRPr="00127039" w:rsidRDefault="00BF1EC4" w:rsidP="00111483">
      <w:pPr>
        <w:pStyle w:val="FootnoteText"/>
      </w:pPr>
      <w:r w:rsidRPr="00127039">
        <w:rPr>
          <w:rStyle w:val="FootnoteReference"/>
        </w:rPr>
        <w:footnoteRef/>
      </w:r>
      <w:r w:rsidRPr="00127039">
        <w:t xml:space="preserve">  </w:t>
      </w:r>
      <w:r>
        <w:tab/>
      </w:r>
      <w:r w:rsidRPr="00127039">
        <w:t xml:space="preserve">SWEPCO Ex. 11 </w:t>
      </w:r>
      <w:r>
        <w:t>at Exhibit VMA-2</w:t>
      </w:r>
      <w:r w:rsidRPr="00127039">
        <w:t>.</w:t>
      </w:r>
    </w:p>
  </w:footnote>
  <w:footnote w:id="195">
    <w:p w14:paraId="4B36573B" w14:textId="77777777" w:rsidR="00BF1EC4" w:rsidRDefault="00BF1EC4" w:rsidP="00111483">
      <w:pPr>
        <w:pStyle w:val="FootnoteText"/>
      </w:pPr>
      <w:r>
        <w:rPr>
          <w:rStyle w:val="FootnoteReference"/>
        </w:rPr>
        <w:footnoteRef/>
      </w:r>
      <w:r>
        <w:t xml:space="preserve"> </w:t>
      </w:r>
      <w:r>
        <w:tab/>
        <w:t>SWEPCO Ex. 49 at 15.</w:t>
      </w:r>
    </w:p>
  </w:footnote>
  <w:footnote w:id="196">
    <w:p w14:paraId="7EBD5064" w14:textId="77777777" w:rsidR="00BF1EC4" w:rsidRDefault="00BF1EC4" w:rsidP="00111483">
      <w:pPr>
        <w:pStyle w:val="FootnoteText"/>
      </w:pPr>
      <w:r>
        <w:rPr>
          <w:rStyle w:val="FootnoteReference"/>
        </w:rPr>
        <w:footnoteRef/>
      </w:r>
      <w:r>
        <w:t xml:space="preserve"> </w:t>
      </w:r>
      <w:r>
        <w:tab/>
        <w:t>Direct Testimony of Franklin Pifer, SWEPCO Ex. 9 at 28.</w:t>
      </w:r>
    </w:p>
  </w:footnote>
  <w:footnote w:id="197">
    <w:p w14:paraId="3FC203FD" w14:textId="77777777" w:rsidR="00BF1EC4" w:rsidRDefault="00BF1EC4" w:rsidP="00111483">
      <w:pPr>
        <w:pStyle w:val="FootnoteText"/>
      </w:pPr>
      <w:r>
        <w:rPr>
          <w:rStyle w:val="FootnoteReference"/>
        </w:rPr>
        <w:footnoteRef/>
      </w:r>
      <w:r>
        <w:t xml:space="preserve"> </w:t>
      </w:r>
      <w:r>
        <w:tab/>
      </w:r>
      <w:proofErr w:type="gramStart"/>
      <w:r>
        <w:t>CARD Exceptions at 9.</w:t>
      </w:r>
      <w:proofErr w:type="gramEnd"/>
    </w:p>
  </w:footnote>
  <w:footnote w:id="198">
    <w:p w14:paraId="111FDDE6" w14:textId="77777777" w:rsidR="00BF1EC4" w:rsidRDefault="00BF1EC4" w:rsidP="00111483">
      <w:pPr>
        <w:pStyle w:val="FootnoteText"/>
      </w:pPr>
      <w:r>
        <w:rPr>
          <w:rStyle w:val="FootnoteReference"/>
        </w:rPr>
        <w:footnoteRef/>
      </w:r>
      <w:r>
        <w:t xml:space="preserve"> </w:t>
      </w:r>
      <w:r>
        <w:tab/>
        <w:t>CARD Ex. 3 at 17.</w:t>
      </w:r>
    </w:p>
  </w:footnote>
  <w:footnote w:id="199">
    <w:p w14:paraId="0E9083FE" w14:textId="77777777" w:rsidR="00BF1EC4" w:rsidRDefault="00BF1EC4" w:rsidP="00111483">
      <w:pPr>
        <w:pStyle w:val="FootnoteText"/>
      </w:pPr>
      <w:r>
        <w:rPr>
          <w:rStyle w:val="FootnoteReference"/>
        </w:rPr>
        <w:footnoteRef/>
      </w:r>
      <w:r>
        <w:t xml:space="preserve"> </w:t>
      </w:r>
      <w:r>
        <w:tab/>
        <w:t>SWEPCO Ex. 11 at 49.</w:t>
      </w:r>
    </w:p>
  </w:footnote>
  <w:footnote w:id="200">
    <w:p w14:paraId="59246D08" w14:textId="77777777" w:rsidR="00BF1EC4" w:rsidRDefault="00BF1EC4" w:rsidP="00111483">
      <w:pPr>
        <w:pStyle w:val="FootnoteText"/>
      </w:pPr>
      <w:r>
        <w:rPr>
          <w:rStyle w:val="FootnoteReference"/>
        </w:rPr>
        <w:footnoteRef/>
      </w:r>
      <w:r>
        <w:t xml:space="preserve"> </w:t>
      </w:r>
      <w:r>
        <w:tab/>
      </w:r>
      <w:proofErr w:type="gramStart"/>
      <w:r>
        <w:t>PFD at FoF 146.</w:t>
      </w:r>
      <w:proofErr w:type="gramEnd"/>
    </w:p>
  </w:footnote>
  <w:footnote w:id="201">
    <w:p w14:paraId="6577A9DD" w14:textId="77777777" w:rsidR="00BF1EC4" w:rsidRDefault="00BF1EC4" w:rsidP="00111483">
      <w:pPr>
        <w:pStyle w:val="FootnoteText"/>
      </w:pPr>
      <w:r>
        <w:rPr>
          <w:rStyle w:val="FootnoteReference"/>
        </w:rPr>
        <w:footnoteRef/>
      </w:r>
      <w:r>
        <w:t xml:space="preserve"> </w:t>
      </w:r>
      <w:r>
        <w:tab/>
      </w:r>
      <w:r>
        <w:rPr>
          <w:i/>
        </w:rPr>
        <w:t xml:space="preserve">See </w:t>
      </w:r>
      <w:r>
        <w:t>SWEPCO Ex. 51 at 28-32.</w:t>
      </w:r>
    </w:p>
  </w:footnote>
  <w:footnote w:id="202">
    <w:p w14:paraId="3ABC7AF2" w14:textId="77777777" w:rsidR="00BF1EC4" w:rsidRDefault="00BF1EC4" w:rsidP="001A37CA">
      <w:pPr>
        <w:pStyle w:val="FootnoteText"/>
      </w:pPr>
      <w:r>
        <w:rPr>
          <w:rStyle w:val="FootnoteReference"/>
        </w:rPr>
        <w:footnoteRef/>
      </w:r>
      <w:r>
        <w:t xml:space="preserve"> </w:t>
      </w:r>
      <w:r>
        <w:tab/>
        <w:t>CARD Exceptions at 1-2, 11-12.</w:t>
      </w:r>
    </w:p>
  </w:footnote>
  <w:footnote w:id="203">
    <w:p w14:paraId="6BC572D3" w14:textId="77777777" w:rsidR="00BF1EC4" w:rsidRPr="00FE7242" w:rsidRDefault="00BF1EC4" w:rsidP="001A37CA">
      <w:pPr>
        <w:pStyle w:val="FootnoteText"/>
      </w:pPr>
      <w:r>
        <w:rPr>
          <w:rStyle w:val="FootnoteReference"/>
        </w:rPr>
        <w:footnoteRef/>
      </w:r>
      <w:r>
        <w:t xml:space="preserve"> </w:t>
      </w:r>
      <w:r>
        <w:tab/>
      </w:r>
      <w:r>
        <w:rPr>
          <w:i/>
        </w:rPr>
        <w:t xml:space="preserve">See </w:t>
      </w:r>
      <w:r>
        <w:t xml:space="preserve">Direct Testimony of Ruth Stark, Staff Ex. 4 at 23; Direct Testimony of Jeffry Pollock, TIEC Ex. 1 at 36 (citing </w:t>
      </w:r>
      <w:r>
        <w:rPr>
          <w:i/>
        </w:rPr>
        <w:t>Application of Gulf States Utilities Company for a Rate Increase</w:t>
      </w:r>
      <w:r>
        <w:t xml:space="preserve">, Docket No. 5560, 10 </w:t>
      </w:r>
      <w:r w:rsidRPr="00493602">
        <w:rPr>
          <w:smallCaps/>
        </w:rPr>
        <w:t>P.U.C. Bull.</w:t>
      </w:r>
      <w:r>
        <w:rPr>
          <w:smallCaps/>
        </w:rPr>
        <w:t xml:space="preserve"> </w:t>
      </w:r>
      <w:r>
        <w:t xml:space="preserve">405 (Jul. 13, 1984);  </w:t>
      </w:r>
      <w:r>
        <w:rPr>
          <w:i/>
        </w:rPr>
        <w:t>Williams v. Houston Lighting &amp; Power Co.</w:t>
      </w:r>
      <w:r>
        <w:t xml:space="preserve">, 21 </w:t>
      </w:r>
      <w:r w:rsidRPr="00AB2CC2">
        <w:t>Tex</w:t>
      </w:r>
      <w:r>
        <w:rPr>
          <w:smallCaps/>
        </w:rPr>
        <w:t xml:space="preserve">. P.U.C. Bull. </w:t>
      </w:r>
      <w:r>
        <w:t>148 (Aug. 30, 1995).</w:t>
      </w:r>
    </w:p>
  </w:footnote>
  <w:footnote w:id="204">
    <w:p w14:paraId="10D2EB7C" w14:textId="77777777" w:rsidR="00BF1EC4" w:rsidRDefault="00BF1EC4" w:rsidP="00111483">
      <w:pPr>
        <w:pStyle w:val="FootnoteText"/>
      </w:pPr>
      <w:r>
        <w:rPr>
          <w:rStyle w:val="FootnoteReference"/>
        </w:rPr>
        <w:footnoteRef/>
      </w:r>
      <w:r>
        <w:t xml:space="preserve"> </w:t>
      </w:r>
      <w:r>
        <w:tab/>
      </w:r>
      <w:r w:rsidRPr="00426606">
        <w:rPr>
          <w:i/>
        </w:rPr>
        <w:t>Application of Southwestern Electric Power Company for Certificate of Convenience and Necessity Authorization for a Coal Fired Power Plant in Arkansas</w:t>
      </w:r>
      <w:r>
        <w:t>, Docket No. 33891, Order at 6-7 (Aug. 12, 2008).</w:t>
      </w:r>
    </w:p>
  </w:footnote>
  <w:footnote w:id="205">
    <w:p w14:paraId="06A0BE01" w14:textId="77777777" w:rsidR="00BF1EC4" w:rsidRDefault="00BF1EC4" w:rsidP="00111483">
      <w:pPr>
        <w:pStyle w:val="FootnoteText"/>
      </w:pPr>
      <w:r>
        <w:rPr>
          <w:rStyle w:val="FootnoteReference"/>
        </w:rPr>
        <w:footnoteRef/>
      </w:r>
      <w:r>
        <w:t xml:space="preserve"> </w:t>
      </w:r>
      <w:r>
        <w:tab/>
        <w:t>Rebuttal Testimony of Randall Hamlett, SWEPCO Ex. 52 at 15-16.</w:t>
      </w:r>
    </w:p>
  </w:footnote>
  <w:footnote w:id="206">
    <w:p w14:paraId="5FA5EA8D" w14:textId="77777777" w:rsidR="00BF1EC4" w:rsidRDefault="00BF1EC4" w:rsidP="00111483">
      <w:pPr>
        <w:pStyle w:val="FootnoteText"/>
      </w:pPr>
      <w:r>
        <w:rPr>
          <w:rStyle w:val="FootnoteReference"/>
        </w:rPr>
        <w:footnoteRef/>
      </w:r>
      <w:r>
        <w:t xml:space="preserve"> </w:t>
      </w:r>
      <w:r>
        <w:tab/>
      </w:r>
      <w:proofErr w:type="gramStart"/>
      <w:r>
        <w:t>PFD at 99.</w:t>
      </w:r>
      <w:proofErr w:type="gramEnd"/>
    </w:p>
  </w:footnote>
  <w:footnote w:id="207">
    <w:p w14:paraId="7B241A48" w14:textId="77777777" w:rsidR="00BF1EC4" w:rsidRDefault="00BF1EC4" w:rsidP="00111483">
      <w:pPr>
        <w:pStyle w:val="FootnoteText"/>
      </w:pPr>
      <w:r>
        <w:rPr>
          <w:rStyle w:val="FootnoteReference"/>
        </w:rPr>
        <w:footnoteRef/>
      </w:r>
      <w:r>
        <w:t xml:space="preserve"> </w:t>
      </w:r>
      <w:r>
        <w:tab/>
        <w:t>PFD at 99-100.</w:t>
      </w:r>
    </w:p>
  </w:footnote>
  <w:footnote w:id="208">
    <w:p w14:paraId="33112E0C" w14:textId="77777777" w:rsidR="00BF1EC4" w:rsidRPr="00BD6BF9" w:rsidRDefault="00BF1EC4" w:rsidP="00111483">
      <w:pPr>
        <w:pStyle w:val="FootnoteText"/>
      </w:pPr>
      <w:r>
        <w:rPr>
          <w:rStyle w:val="FootnoteReference"/>
        </w:rPr>
        <w:footnoteRef/>
      </w:r>
      <w:r>
        <w:t xml:space="preserve"> </w:t>
      </w:r>
      <w:r>
        <w:tab/>
      </w:r>
      <w:proofErr w:type="gramStart"/>
      <w:r>
        <w:t>TIEC Exceptions at 6.</w:t>
      </w:r>
      <w:proofErr w:type="gramEnd"/>
    </w:p>
  </w:footnote>
  <w:footnote w:id="209">
    <w:p w14:paraId="35205FCC" w14:textId="77777777" w:rsidR="00BF1EC4" w:rsidRDefault="00BF1EC4" w:rsidP="00111483">
      <w:pPr>
        <w:pStyle w:val="FootnoteText"/>
      </w:pPr>
      <w:r>
        <w:rPr>
          <w:rStyle w:val="FootnoteReference"/>
        </w:rPr>
        <w:footnoteRef/>
      </w:r>
      <w:r>
        <w:t xml:space="preserve"> </w:t>
      </w:r>
      <w:r>
        <w:tab/>
      </w:r>
      <w:proofErr w:type="gramStart"/>
      <w:r>
        <w:t>Docket No. 33891, Order at 6-7 (emphasis in original) (Aug. 12, 2008).</w:t>
      </w:r>
      <w:proofErr w:type="gramEnd"/>
    </w:p>
  </w:footnote>
  <w:footnote w:id="210">
    <w:p w14:paraId="3607DBFE" w14:textId="77777777" w:rsidR="00BF1EC4" w:rsidRDefault="00BF1EC4" w:rsidP="00111483">
      <w:pPr>
        <w:pStyle w:val="FootnoteText"/>
      </w:pPr>
      <w:r>
        <w:rPr>
          <w:rStyle w:val="FootnoteReference"/>
        </w:rPr>
        <w:footnoteRef/>
      </w:r>
      <w:r>
        <w:t xml:space="preserve"> </w:t>
      </w:r>
      <w:r>
        <w:tab/>
      </w:r>
      <w:proofErr w:type="gramStart"/>
      <w:r>
        <w:t>TIEC Exceptions at 7.</w:t>
      </w:r>
      <w:proofErr w:type="gramEnd"/>
    </w:p>
  </w:footnote>
  <w:footnote w:id="211">
    <w:p w14:paraId="668F72AB" w14:textId="77777777" w:rsidR="00BF1EC4" w:rsidRDefault="00BF1EC4" w:rsidP="00111483">
      <w:pPr>
        <w:pStyle w:val="FootnoteText"/>
      </w:pPr>
      <w:r>
        <w:rPr>
          <w:rStyle w:val="FootnoteReference"/>
        </w:rPr>
        <w:footnoteRef/>
      </w:r>
      <w:r>
        <w:t xml:space="preserve"> </w:t>
      </w:r>
      <w:r>
        <w:tab/>
      </w:r>
      <w:proofErr w:type="gramStart"/>
      <w:r>
        <w:t>TIEC Exceptions at 6.</w:t>
      </w:r>
      <w:proofErr w:type="gramEnd"/>
    </w:p>
  </w:footnote>
  <w:footnote w:id="212">
    <w:p w14:paraId="282EEA55" w14:textId="77777777" w:rsidR="00BF1EC4" w:rsidRDefault="00BF1EC4" w:rsidP="00111483">
      <w:pPr>
        <w:pStyle w:val="FootnoteText"/>
      </w:pPr>
      <w:r>
        <w:rPr>
          <w:rStyle w:val="FootnoteReference"/>
        </w:rPr>
        <w:footnoteRef/>
      </w:r>
      <w:r>
        <w:t xml:space="preserve"> </w:t>
      </w:r>
      <w:r>
        <w:tab/>
        <w:t>TIEC Exceptions at 8 (emphasis added).</w:t>
      </w:r>
    </w:p>
  </w:footnote>
  <w:footnote w:id="213">
    <w:p w14:paraId="2AE07B0C" w14:textId="77777777" w:rsidR="00BF1EC4" w:rsidRDefault="00BF1EC4" w:rsidP="00111483">
      <w:pPr>
        <w:pStyle w:val="FootnoteText"/>
      </w:pPr>
      <w:r>
        <w:rPr>
          <w:rStyle w:val="FootnoteReference"/>
        </w:rPr>
        <w:footnoteRef/>
      </w:r>
      <w:r>
        <w:t xml:space="preserve"> </w:t>
      </w:r>
      <w:r>
        <w:tab/>
        <w:t>Docket No. 40443, Order on Rehearing at 7 (Mar. 6, 2014).</w:t>
      </w:r>
    </w:p>
  </w:footnote>
  <w:footnote w:id="214">
    <w:p w14:paraId="00DD4FBC" w14:textId="77777777" w:rsidR="00BF1EC4" w:rsidRDefault="00BF1EC4" w:rsidP="00111483">
      <w:pPr>
        <w:pStyle w:val="FootnoteText"/>
      </w:pPr>
      <w:r>
        <w:rPr>
          <w:rStyle w:val="FootnoteReference"/>
        </w:rPr>
        <w:footnoteRef/>
      </w:r>
      <w:r>
        <w:t xml:space="preserve"> </w:t>
      </w:r>
      <w:r>
        <w:tab/>
      </w:r>
      <w:proofErr w:type="gramStart"/>
      <w:r>
        <w:t>TIEC Exceptions at 5.</w:t>
      </w:r>
      <w:proofErr w:type="gramEnd"/>
    </w:p>
  </w:footnote>
  <w:footnote w:id="215">
    <w:p w14:paraId="454880A4" w14:textId="77777777" w:rsidR="00BF1EC4" w:rsidRDefault="00BF1EC4" w:rsidP="00111483">
      <w:pPr>
        <w:pStyle w:val="FootnoteText"/>
      </w:pPr>
      <w:r>
        <w:rPr>
          <w:rStyle w:val="FootnoteReference"/>
        </w:rPr>
        <w:footnoteRef/>
      </w:r>
      <w:r>
        <w:t xml:space="preserve"> </w:t>
      </w:r>
      <w:r>
        <w:tab/>
      </w:r>
      <w:proofErr w:type="gramStart"/>
      <w:r>
        <w:t>TIEC Exceptions at 7.</w:t>
      </w:r>
      <w:proofErr w:type="gramEnd"/>
    </w:p>
  </w:footnote>
  <w:footnote w:id="216">
    <w:p w14:paraId="097BE6E7" w14:textId="77777777" w:rsidR="00BF1EC4" w:rsidRDefault="00BF1EC4" w:rsidP="00111483">
      <w:pPr>
        <w:pStyle w:val="FootnoteText"/>
      </w:pPr>
      <w:r>
        <w:rPr>
          <w:rStyle w:val="FootnoteReference"/>
        </w:rPr>
        <w:footnoteRef/>
      </w:r>
      <w:r>
        <w:t xml:space="preserve"> </w:t>
      </w:r>
      <w:r>
        <w:tab/>
      </w:r>
      <w:proofErr w:type="gramStart"/>
      <w:r>
        <w:t>TIEC Exceptions at 7.</w:t>
      </w:r>
      <w:proofErr w:type="gramEnd"/>
    </w:p>
  </w:footnote>
  <w:footnote w:id="217">
    <w:p w14:paraId="7155EA41" w14:textId="77777777" w:rsidR="00BF1EC4" w:rsidRDefault="00BF1EC4" w:rsidP="0032615D">
      <w:pPr>
        <w:pStyle w:val="FootnoteText"/>
      </w:pPr>
      <w:r>
        <w:rPr>
          <w:rStyle w:val="FootnoteReference"/>
        </w:rPr>
        <w:footnoteRef/>
      </w:r>
      <w:r>
        <w:t xml:space="preserve"> </w:t>
      </w:r>
      <w:r>
        <w:tab/>
      </w:r>
      <w:proofErr w:type="gramStart"/>
      <w:r>
        <w:t>CARD Exceptions at 13.</w:t>
      </w:r>
      <w:proofErr w:type="gramEnd"/>
    </w:p>
  </w:footnote>
  <w:footnote w:id="218">
    <w:p w14:paraId="0808C49D" w14:textId="77777777" w:rsidR="00BF1EC4" w:rsidRDefault="00BF1EC4" w:rsidP="0032615D">
      <w:pPr>
        <w:pStyle w:val="FootnoteText"/>
      </w:pPr>
      <w:r>
        <w:rPr>
          <w:rStyle w:val="FootnoteReference"/>
        </w:rPr>
        <w:footnoteRef/>
      </w:r>
      <w:r>
        <w:t xml:space="preserve"> </w:t>
      </w:r>
      <w:r>
        <w:tab/>
      </w:r>
      <w:r>
        <w:rPr>
          <w:i/>
        </w:rPr>
        <w:t>Id</w:t>
      </w:r>
      <w:r>
        <w:t>.</w:t>
      </w:r>
    </w:p>
  </w:footnote>
  <w:footnote w:id="219">
    <w:p w14:paraId="536B7E65" w14:textId="77777777" w:rsidR="00BF1EC4" w:rsidRDefault="00BF1EC4" w:rsidP="0032615D">
      <w:pPr>
        <w:pStyle w:val="FootnoteText"/>
      </w:pPr>
      <w:r>
        <w:rPr>
          <w:rStyle w:val="FootnoteReference"/>
        </w:rPr>
        <w:footnoteRef/>
      </w:r>
      <w:r>
        <w:t xml:space="preserve"> </w:t>
      </w:r>
      <w:r>
        <w:tab/>
        <w:t>Rebuttal Testimony of Steven J. Wooldridge, SWEPCO Ex. 54 at 6; Rebuttal Testimony of Albert M. Smoak, SWEPCO Ex. 53 at 11</w:t>
      </w:r>
    </w:p>
  </w:footnote>
  <w:footnote w:id="220">
    <w:p w14:paraId="5DDCCDD8" w14:textId="77777777" w:rsidR="00BF1EC4" w:rsidRDefault="00BF1EC4" w:rsidP="0032615D">
      <w:pPr>
        <w:pStyle w:val="FootnoteText"/>
      </w:pPr>
      <w:r>
        <w:rPr>
          <w:rStyle w:val="FootnoteReference"/>
        </w:rPr>
        <w:footnoteRef/>
      </w:r>
      <w:r>
        <w:t xml:space="preserve"> </w:t>
      </w:r>
      <w:r>
        <w:tab/>
        <w:t>Direct Testimony of Randall W. Hamlett, SWEPCO Ex. 15 at 49.</w:t>
      </w:r>
    </w:p>
  </w:footnote>
  <w:footnote w:id="221">
    <w:p w14:paraId="7AD1B98C" w14:textId="77777777" w:rsidR="00BF1EC4" w:rsidRDefault="00BF1EC4" w:rsidP="0032615D">
      <w:pPr>
        <w:pStyle w:val="FootnoteText"/>
      </w:pPr>
      <w:r>
        <w:rPr>
          <w:rStyle w:val="FootnoteReference"/>
        </w:rPr>
        <w:footnoteRef/>
      </w:r>
      <w:r>
        <w:t xml:space="preserve"> </w:t>
      </w:r>
      <w:r>
        <w:tab/>
      </w:r>
      <w:proofErr w:type="gramStart"/>
      <w:r>
        <w:t>CARD Exceptions at 13.</w:t>
      </w:r>
      <w:proofErr w:type="gramEnd"/>
    </w:p>
  </w:footnote>
  <w:footnote w:id="222">
    <w:p w14:paraId="5AC82725" w14:textId="77777777" w:rsidR="00BF1EC4" w:rsidRDefault="00BF1EC4" w:rsidP="0032615D">
      <w:pPr>
        <w:pStyle w:val="FootnoteText"/>
      </w:pPr>
      <w:r>
        <w:rPr>
          <w:rStyle w:val="FootnoteReference"/>
        </w:rPr>
        <w:footnoteRef/>
      </w:r>
      <w:r>
        <w:t xml:space="preserve"> </w:t>
      </w:r>
      <w:r>
        <w:tab/>
        <w:t>SWEPCO Ex. 15 at 49.</w:t>
      </w:r>
    </w:p>
  </w:footnote>
  <w:footnote w:id="223">
    <w:p w14:paraId="4B9296E0" w14:textId="77777777" w:rsidR="00BF1EC4" w:rsidRDefault="00BF1EC4" w:rsidP="0032615D">
      <w:pPr>
        <w:pStyle w:val="FootnoteText"/>
      </w:pPr>
      <w:r>
        <w:rPr>
          <w:rStyle w:val="FootnoteReference"/>
        </w:rPr>
        <w:footnoteRef/>
      </w:r>
      <w:r>
        <w:t xml:space="preserve"> </w:t>
      </w:r>
      <w:r>
        <w:tab/>
        <w:t>The PFD recommends disallowance of some amount of transmission and distribution capital expense of which SWEPCO addressed in its Exceptions.</w:t>
      </w:r>
    </w:p>
  </w:footnote>
  <w:footnote w:id="224">
    <w:p w14:paraId="51B2E072" w14:textId="77777777" w:rsidR="00BF1EC4" w:rsidRDefault="00BF1EC4" w:rsidP="0032615D">
      <w:pPr>
        <w:pStyle w:val="FootnoteText"/>
      </w:pPr>
      <w:r>
        <w:rPr>
          <w:rStyle w:val="FootnoteReference"/>
        </w:rPr>
        <w:footnoteRef/>
      </w:r>
      <w:r>
        <w:t xml:space="preserve"> </w:t>
      </w:r>
      <w:r>
        <w:tab/>
        <w:t>Direct Testimony of Blake Ianni, Staff Ex. 7 at 6-8 and 9-12.  (Although Staff recommended reclassification $474,699 and $68,677 of capitalized vegetation transmission expense to O&amp;M, as SWEPCO addresses in its Exceptions, the $474,699 represents a double count of test year cost.</w:t>
      </w:r>
    </w:p>
  </w:footnote>
  <w:footnote w:id="225">
    <w:p w14:paraId="565963C8" w14:textId="77777777" w:rsidR="00BF1EC4" w:rsidRDefault="00BF1EC4" w:rsidP="0032615D">
      <w:pPr>
        <w:pStyle w:val="FootnoteText"/>
      </w:pPr>
      <w:r>
        <w:rPr>
          <w:rStyle w:val="FootnoteReference"/>
        </w:rPr>
        <w:footnoteRef/>
      </w:r>
      <w:r>
        <w:t xml:space="preserve"> </w:t>
      </w:r>
      <w:r>
        <w:tab/>
      </w:r>
      <w:proofErr w:type="gramStart"/>
      <w:r>
        <w:t>PFD at 150.</w:t>
      </w:r>
      <w:proofErr w:type="gramEnd"/>
    </w:p>
  </w:footnote>
  <w:footnote w:id="226">
    <w:p w14:paraId="3E55DEDA" w14:textId="77777777" w:rsidR="00BF1EC4" w:rsidRDefault="00BF1EC4" w:rsidP="0032615D">
      <w:pPr>
        <w:pStyle w:val="FootnoteText"/>
      </w:pPr>
      <w:r>
        <w:rPr>
          <w:rStyle w:val="FootnoteReference"/>
        </w:rPr>
        <w:footnoteRef/>
      </w:r>
      <w:r>
        <w:t xml:space="preserve"> </w:t>
      </w:r>
      <w:r>
        <w:tab/>
      </w:r>
      <w:r>
        <w:rPr>
          <w:i/>
        </w:rPr>
        <w:t>Id</w:t>
      </w:r>
      <w:r>
        <w:t>.</w:t>
      </w:r>
    </w:p>
  </w:footnote>
  <w:footnote w:id="227">
    <w:p w14:paraId="7F5319F2" w14:textId="77777777" w:rsidR="00BF1EC4" w:rsidRPr="00354D75" w:rsidRDefault="00BF1EC4" w:rsidP="004D2392">
      <w:pPr>
        <w:pStyle w:val="FootnoteText"/>
      </w:pPr>
      <w:r w:rsidRPr="00354D75">
        <w:rPr>
          <w:rStyle w:val="FootnoteReference"/>
        </w:rPr>
        <w:footnoteRef/>
      </w:r>
      <w:r w:rsidRPr="00354D75">
        <w:t xml:space="preserve"> </w:t>
      </w:r>
      <w:r w:rsidRPr="00354D75">
        <w:tab/>
        <w:t xml:space="preserve">Direct Testimony of Marguerite Mills, SWEPCO Ex. </w:t>
      </w:r>
      <w:r>
        <w:t>37</w:t>
      </w:r>
      <w:r w:rsidRPr="00354D75">
        <w:t xml:space="preserve"> at 13-14.</w:t>
      </w:r>
    </w:p>
  </w:footnote>
  <w:footnote w:id="228">
    <w:p w14:paraId="3217676E" w14:textId="77777777" w:rsidR="00BF1EC4" w:rsidRDefault="00BF1EC4" w:rsidP="004D2392">
      <w:pPr>
        <w:pStyle w:val="FootnoteText"/>
      </w:pPr>
      <w:r>
        <w:rPr>
          <w:rStyle w:val="FootnoteReference"/>
        </w:rPr>
        <w:footnoteRef/>
      </w:r>
      <w:r>
        <w:t xml:space="preserve"> </w:t>
      </w:r>
      <w:r>
        <w:tab/>
      </w:r>
      <w:proofErr w:type="gramStart"/>
      <w:r>
        <w:t>Rebuttal Testimony of Marguerite Mills, SWEPCO Ex. 61 at 2 and Exhibit MCM-1R.</w:t>
      </w:r>
      <w:proofErr w:type="gramEnd"/>
    </w:p>
  </w:footnote>
  <w:footnote w:id="229">
    <w:p w14:paraId="46E7ACDE" w14:textId="77777777" w:rsidR="00BF1EC4" w:rsidRDefault="00BF1EC4" w:rsidP="00F07275">
      <w:pPr>
        <w:pStyle w:val="FootnoteText"/>
      </w:pPr>
      <w:r w:rsidRPr="00F07275">
        <w:rPr>
          <w:rStyle w:val="FootnoteReference"/>
        </w:rPr>
        <w:footnoteRef/>
      </w:r>
      <w:r w:rsidRPr="00F07275">
        <w:t xml:space="preserve"> </w:t>
      </w:r>
      <w:r w:rsidRPr="00F07275">
        <w:tab/>
      </w:r>
      <w:proofErr w:type="gramStart"/>
      <w:r w:rsidRPr="00F07275">
        <w:t>PFD at 157.</w:t>
      </w:r>
      <w:proofErr w:type="gramEnd"/>
    </w:p>
  </w:footnote>
  <w:footnote w:id="230">
    <w:p w14:paraId="40DFAC8C" w14:textId="77777777" w:rsidR="00BF1EC4" w:rsidRDefault="00BF1EC4" w:rsidP="004D2392">
      <w:pPr>
        <w:pStyle w:val="FootnoteText"/>
      </w:pPr>
      <w:r>
        <w:rPr>
          <w:rStyle w:val="FootnoteReference"/>
        </w:rPr>
        <w:footnoteRef/>
      </w:r>
      <w:r>
        <w:t xml:space="preserve"> </w:t>
      </w:r>
      <w:r>
        <w:tab/>
      </w:r>
      <w:proofErr w:type="gramStart"/>
      <w:r>
        <w:t>CARD Exceptions at 14.</w:t>
      </w:r>
      <w:proofErr w:type="gramEnd"/>
    </w:p>
  </w:footnote>
  <w:footnote w:id="231">
    <w:p w14:paraId="5FEB3FEA" w14:textId="77777777" w:rsidR="00BF1EC4" w:rsidRDefault="00BF1EC4" w:rsidP="004D2392">
      <w:pPr>
        <w:pStyle w:val="FootnoteText"/>
      </w:pPr>
      <w:r>
        <w:rPr>
          <w:rStyle w:val="FootnoteReference"/>
        </w:rPr>
        <w:footnoteRef/>
      </w:r>
      <w:r>
        <w:t xml:space="preserve"> </w:t>
      </w:r>
      <w:r>
        <w:tab/>
        <w:t>SWEPCO Ex. 61 at 3.</w:t>
      </w:r>
    </w:p>
  </w:footnote>
  <w:footnote w:id="232">
    <w:p w14:paraId="5EFFD1AB" w14:textId="77777777" w:rsidR="00BF1EC4" w:rsidRDefault="00BF1EC4" w:rsidP="004D2392">
      <w:pPr>
        <w:pStyle w:val="FootnoteText"/>
      </w:pPr>
      <w:r>
        <w:rPr>
          <w:rStyle w:val="FootnoteReference"/>
        </w:rPr>
        <w:footnoteRef/>
      </w:r>
      <w:r>
        <w:t xml:space="preserve"> </w:t>
      </w:r>
      <w:r>
        <w:tab/>
        <w:t>SWEPCO Ex. 37 at 16.</w:t>
      </w:r>
    </w:p>
  </w:footnote>
  <w:footnote w:id="233">
    <w:p w14:paraId="171B68E9" w14:textId="77777777" w:rsidR="00BF1EC4" w:rsidRPr="00354D75" w:rsidRDefault="00BF1EC4" w:rsidP="004D2392">
      <w:pPr>
        <w:pStyle w:val="FootnoteText"/>
      </w:pPr>
      <w:r w:rsidRPr="00354D75">
        <w:rPr>
          <w:rStyle w:val="FootnoteReference"/>
        </w:rPr>
        <w:footnoteRef/>
      </w:r>
      <w:r w:rsidRPr="00354D75">
        <w:t xml:space="preserve"> </w:t>
      </w:r>
      <w:r>
        <w:tab/>
        <w:t>SWEPCO Ex. 61</w:t>
      </w:r>
      <w:r w:rsidRPr="00354D75">
        <w:t xml:space="preserve"> at 7.</w:t>
      </w:r>
      <w:r>
        <w:t xml:space="preserve">  CARD admits that such “additional risk might perhaps call for an increase in the current 45-day inventory level.”  </w:t>
      </w:r>
      <w:proofErr w:type="gramStart"/>
      <w:r>
        <w:t>CARD Exceptions at 16.</w:t>
      </w:r>
      <w:proofErr w:type="gramEnd"/>
    </w:p>
  </w:footnote>
  <w:footnote w:id="234">
    <w:p w14:paraId="119479AE" w14:textId="77777777" w:rsidR="00BF1EC4" w:rsidRDefault="00BF1EC4" w:rsidP="004D2392">
      <w:pPr>
        <w:pStyle w:val="FootnoteText"/>
      </w:pPr>
      <w:r>
        <w:rPr>
          <w:rStyle w:val="FootnoteReference"/>
        </w:rPr>
        <w:footnoteRef/>
      </w:r>
      <w:r>
        <w:t xml:space="preserve"> </w:t>
      </w:r>
      <w:r>
        <w:tab/>
      </w:r>
      <w:proofErr w:type="gramStart"/>
      <w:r>
        <w:t>PFD at 157.</w:t>
      </w:r>
      <w:proofErr w:type="gramEnd"/>
    </w:p>
  </w:footnote>
  <w:footnote w:id="235">
    <w:p w14:paraId="080CC32F" w14:textId="77777777" w:rsidR="00BF1EC4" w:rsidRDefault="00BF1EC4" w:rsidP="004D2392">
      <w:pPr>
        <w:pStyle w:val="FootnoteText"/>
      </w:pPr>
      <w:r>
        <w:rPr>
          <w:rStyle w:val="FootnoteReference"/>
        </w:rPr>
        <w:footnoteRef/>
      </w:r>
      <w:r>
        <w:t xml:space="preserve"> </w:t>
      </w:r>
      <w:r>
        <w:tab/>
      </w:r>
      <w:proofErr w:type="gramStart"/>
      <w:r>
        <w:t>CARD Exceptions at 14.</w:t>
      </w:r>
      <w:proofErr w:type="gramEnd"/>
    </w:p>
  </w:footnote>
  <w:footnote w:id="236">
    <w:p w14:paraId="6CA893AD" w14:textId="77777777" w:rsidR="00BF1EC4" w:rsidRDefault="00BF1EC4" w:rsidP="004D2392">
      <w:pPr>
        <w:pStyle w:val="FootnoteText"/>
      </w:pPr>
      <w:r>
        <w:rPr>
          <w:rStyle w:val="FootnoteReference"/>
        </w:rPr>
        <w:footnoteRef/>
      </w:r>
      <w:r>
        <w:t xml:space="preserve"> </w:t>
      </w:r>
      <w:r>
        <w:tab/>
        <w:t>SWEPCO Ex. 61 at 6.</w:t>
      </w:r>
    </w:p>
  </w:footnote>
  <w:footnote w:id="237">
    <w:p w14:paraId="1A363721" w14:textId="77777777" w:rsidR="00BF1EC4" w:rsidRDefault="00BF1EC4" w:rsidP="004D2392">
      <w:pPr>
        <w:pStyle w:val="FootnoteText"/>
      </w:pPr>
      <w:r>
        <w:rPr>
          <w:rStyle w:val="FootnoteReference"/>
        </w:rPr>
        <w:footnoteRef/>
      </w:r>
      <w:r>
        <w:t xml:space="preserve"> </w:t>
      </w:r>
      <w:r>
        <w:tab/>
        <w:t>SWEPCO Ex. 61 at 5.</w:t>
      </w:r>
    </w:p>
  </w:footnote>
  <w:footnote w:id="238">
    <w:p w14:paraId="2CEDBA64" w14:textId="77777777" w:rsidR="00BF1EC4" w:rsidRDefault="00BF1EC4" w:rsidP="004D2392">
      <w:pPr>
        <w:pStyle w:val="FootnoteText"/>
      </w:pPr>
      <w:r>
        <w:rPr>
          <w:rStyle w:val="FootnoteReference"/>
        </w:rPr>
        <w:footnoteRef/>
      </w:r>
      <w:r>
        <w:t xml:space="preserve"> </w:t>
      </w:r>
      <w:r>
        <w:tab/>
      </w:r>
      <w:proofErr w:type="gramStart"/>
      <w:r>
        <w:t>CARD Exceptions at 15.</w:t>
      </w:r>
      <w:proofErr w:type="gramEnd"/>
    </w:p>
  </w:footnote>
  <w:footnote w:id="239">
    <w:p w14:paraId="37145A28" w14:textId="77777777" w:rsidR="00BF1EC4" w:rsidRDefault="00BF1EC4" w:rsidP="004D2392">
      <w:pPr>
        <w:pStyle w:val="FootnoteText"/>
      </w:pPr>
      <w:r>
        <w:rPr>
          <w:rStyle w:val="FootnoteReference"/>
        </w:rPr>
        <w:footnoteRef/>
      </w:r>
      <w:r>
        <w:t xml:space="preserve"> </w:t>
      </w:r>
      <w:r>
        <w:tab/>
        <w:t>SWEPCO Ex. 61 at 5-6.</w:t>
      </w:r>
    </w:p>
  </w:footnote>
  <w:footnote w:id="240">
    <w:p w14:paraId="22D3837B" w14:textId="77777777" w:rsidR="00BF1EC4" w:rsidRPr="00792B68" w:rsidRDefault="00BF1EC4" w:rsidP="004D2392">
      <w:pPr>
        <w:pStyle w:val="FootnoteText"/>
      </w:pPr>
      <w:r>
        <w:rPr>
          <w:rStyle w:val="FootnoteReference"/>
        </w:rPr>
        <w:footnoteRef/>
      </w:r>
      <w:r>
        <w:t xml:space="preserve"> </w:t>
      </w:r>
      <w:r>
        <w:tab/>
      </w:r>
      <w:r>
        <w:rPr>
          <w:i/>
        </w:rPr>
        <w:t xml:space="preserve">See </w:t>
      </w:r>
      <w:r>
        <w:t>CARD Exceptions at 15.</w:t>
      </w:r>
    </w:p>
  </w:footnote>
  <w:footnote w:id="241">
    <w:p w14:paraId="2767BC15" w14:textId="77777777" w:rsidR="00BF1EC4" w:rsidRDefault="00BF1EC4" w:rsidP="004D2392">
      <w:pPr>
        <w:pStyle w:val="FootnoteText"/>
      </w:pPr>
      <w:r>
        <w:rPr>
          <w:rStyle w:val="FootnoteReference"/>
        </w:rPr>
        <w:footnoteRef/>
      </w:r>
      <w:r>
        <w:t xml:space="preserve"> </w:t>
      </w:r>
      <w:r>
        <w:tab/>
      </w:r>
      <w:proofErr w:type="gramStart"/>
      <w:r>
        <w:t>CARD Exceptions at 14 and 15.</w:t>
      </w:r>
      <w:proofErr w:type="gramEnd"/>
    </w:p>
  </w:footnote>
  <w:footnote w:id="242">
    <w:p w14:paraId="51A74686" w14:textId="77777777" w:rsidR="00BF1EC4" w:rsidRPr="00354D75" w:rsidRDefault="00BF1EC4" w:rsidP="004D2392">
      <w:pPr>
        <w:pStyle w:val="FootnoteText"/>
      </w:pPr>
      <w:r w:rsidRPr="00354D75">
        <w:rPr>
          <w:rStyle w:val="FootnoteReference"/>
        </w:rPr>
        <w:footnoteRef/>
      </w:r>
      <w:r w:rsidRPr="00354D75">
        <w:t xml:space="preserve"> </w:t>
      </w:r>
      <w:r>
        <w:tab/>
        <w:t>SWEPCO Ex. 61</w:t>
      </w:r>
      <w:r w:rsidRPr="00354D75">
        <w:t xml:space="preserve"> at 7-8.</w:t>
      </w:r>
    </w:p>
  </w:footnote>
  <w:footnote w:id="243">
    <w:p w14:paraId="194954CE" w14:textId="77777777" w:rsidR="00BF1EC4" w:rsidRDefault="00BF1EC4" w:rsidP="007B62B2">
      <w:pPr>
        <w:pStyle w:val="FootnoteText"/>
      </w:pPr>
      <w:r>
        <w:rPr>
          <w:rStyle w:val="FootnoteReference"/>
        </w:rPr>
        <w:footnoteRef/>
      </w:r>
      <w:r>
        <w:t xml:space="preserve"> </w:t>
      </w:r>
      <w:r>
        <w:tab/>
      </w:r>
      <w:proofErr w:type="gramStart"/>
      <w:r>
        <w:t>Staff Exceptions at 5, CARD Exceptions at 17; OPUC Exceptions at 20; and TIEC Exceptions at 4.</w:t>
      </w:r>
      <w:proofErr w:type="gramEnd"/>
    </w:p>
  </w:footnote>
  <w:footnote w:id="244">
    <w:p w14:paraId="2D47194F" w14:textId="77777777" w:rsidR="00BF1EC4" w:rsidRDefault="00BF1EC4" w:rsidP="007B62B2">
      <w:pPr>
        <w:pStyle w:val="FootnoteText"/>
      </w:pPr>
      <w:r>
        <w:rPr>
          <w:rStyle w:val="FootnoteReference"/>
        </w:rPr>
        <w:footnoteRef/>
      </w:r>
      <w:r>
        <w:t xml:space="preserve"> </w:t>
      </w:r>
      <w:r>
        <w:tab/>
      </w:r>
      <w:proofErr w:type="gramStart"/>
      <w:r w:rsidRPr="0046703C">
        <w:rPr>
          <w:i/>
        </w:rPr>
        <w:t>See, e.g.</w:t>
      </w:r>
      <w:r>
        <w:t>, TIEC Exceptions at 9-10 and 11-12.</w:t>
      </w:r>
      <w:proofErr w:type="gramEnd"/>
    </w:p>
  </w:footnote>
  <w:footnote w:id="245">
    <w:p w14:paraId="1BA2C790" w14:textId="77777777" w:rsidR="00BF1EC4" w:rsidRDefault="00BF1EC4" w:rsidP="007B62B2">
      <w:pPr>
        <w:pStyle w:val="FootnoteText"/>
      </w:pPr>
      <w:r>
        <w:rPr>
          <w:rStyle w:val="FootnoteReference"/>
        </w:rPr>
        <w:footnoteRef/>
      </w:r>
      <w:r>
        <w:t xml:space="preserve"> </w:t>
      </w:r>
      <w:r>
        <w:tab/>
      </w:r>
      <w:r w:rsidRPr="0046703C">
        <w:rPr>
          <w:i/>
        </w:rPr>
        <w:t>See, e.g</w:t>
      </w:r>
      <w:r>
        <w:t>., TIEC Exceptions at 10-11; OPUC Exceptions at 20.</w:t>
      </w:r>
    </w:p>
  </w:footnote>
  <w:footnote w:id="246">
    <w:p w14:paraId="4ECEAD50" w14:textId="77777777" w:rsidR="00BF1EC4" w:rsidRDefault="00BF1EC4" w:rsidP="007B62B2">
      <w:pPr>
        <w:pStyle w:val="FootnoteText"/>
      </w:pPr>
      <w:r>
        <w:rPr>
          <w:rStyle w:val="FootnoteReference"/>
        </w:rPr>
        <w:footnoteRef/>
      </w:r>
      <w:r>
        <w:t xml:space="preserve"> </w:t>
      </w:r>
      <w:r>
        <w:tab/>
      </w:r>
      <w:r w:rsidRPr="0046703C">
        <w:rPr>
          <w:i/>
        </w:rPr>
        <w:t>See, e.g</w:t>
      </w:r>
      <w:r>
        <w:t>., CARD Exceptions at 19; OPUC Exceptions at 21.</w:t>
      </w:r>
    </w:p>
  </w:footnote>
  <w:footnote w:id="247">
    <w:p w14:paraId="69DBB345" w14:textId="77777777" w:rsidR="00BF1EC4" w:rsidRPr="006B57F3" w:rsidRDefault="00BF1EC4" w:rsidP="007B62B2">
      <w:pPr>
        <w:pStyle w:val="FootnoteText"/>
      </w:pPr>
      <w:r w:rsidRPr="00432A0E">
        <w:rPr>
          <w:rStyle w:val="FootnoteReference"/>
        </w:rPr>
        <w:footnoteRef/>
      </w:r>
      <w:r w:rsidRPr="00432A0E">
        <w:t xml:space="preserve"> </w:t>
      </w:r>
      <w:r w:rsidRPr="00432A0E">
        <w:tab/>
      </w:r>
      <w:r>
        <w:t xml:space="preserve">Rebuttal Testimony of Robert B. Hevert, SWEPCO Ex. 17 at 8-9.  </w:t>
      </w:r>
      <w:r w:rsidRPr="006D0CA2">
        <w:rPr>
          <w:rFonts w:eastAsia="Calibri"/>
        </w:rPr>
        <w:t xml:space="preserve">Source: Regulatory Research Associates (RRA).  </w:t>
      </w:r>
      <w:proofErr w:type="gramStart"/>
      <w:r w:rsidRPr="006D0CA2">
        <w:rPr>
          <w:rFonts w:eastAsia="Calibri"/>
        </w:rPr>
        <w:t>Authorized ROEs for electric utilities from</w:t>
      </w:r>
      <w:r>
        <w:rPr>
          <w:rFonts w:eastAsia="Calibri"/>
        </w:rPr>
        <w:t xml:space="preserve"> </w:t>
      </w:r>
      <w:r w:rsidRPr="006D0CA2">
        <w:rPr>
          <w:rFonts w:eastAsia="Calibri"/>
        </w:rPr>
        <w:t>January 201</w:t>
      </w:r>
      <w:r>
        <w:rPr>
          <w:rFonts w:eastAsia="Calibri"/>
        </w:rPr>
        <w:t>4</w:t>
      </w:r>
      <w:r w:rsidRPr="006D0CA2">
        <w:rPr>
          <w:rFonts w:eastAsia="Calibri"/>
        </w:rPr>
        <w:t xml:space="preserve"> </w:t>
      </w:r>
      <w:r w:rsidRPr="00DE66DF">
        <w:rPr>
          <w:rFonts w:eastAsia="Calibri"/>
        </w:rPr>
        <w:t>through</w:t>
      </w:r>
      <w:r w:rsidRPr="00E700C5">
        <w:rPr>
          <w:rFonts w:eastAsia="Calibri"/>
        </w:rPr>
        <w:t xml:space="preserve"> </w:t>
      </w:r>
      <w:r w:rsidRPr="00E32C1B">
        <w:rPr>
          <w:rFonts w:eastAsia="Calibri"/>
        </w:rPr>
        <w:t>April 2017</w:t>
      </w:r>
      <w:r w:rsidRPr="00E700C5">
        <w:rPr>
          <w:rFonts w:eastAsia="Calibri"/>
        </w:rPr>
        <w:t>.</w:t>
      </w:r>
      <w:proofErr w:type="gramEnd"/>
      <w:r w:rsidRPr="00E700C5">
        <w:rPr>
          <w:rFonts w:eastAsia="Calibri"/>
        </w:rPr>
        <w:t xml:space="preserve">  ROEs</w:t>
      </w:r>
      <w:r w:rsidRPr="006D0CA2">
        <w:rPr>
          <w:rFonts w:eastAsia="Calibri"/>
        </w:rPr>
        <w:t xml:space="preserve"> authorized for limited issue rate riders are excluded.</w:t>
      </w:r>
    </w:p>
  </w:footnote>
  <w:footnote w:id="248">
    <w:p w14:paraId="2C795CC6" w14:textId="77777777" w:rsidR="00BF1EC4" w:rsidRDefault="00BF1EC4" w:rsidP="007B62B2">
      <w:pPr>
        <w:pStyle w:val="FootnoteText"/>
      </w:pPr>
      <w:r>
        <w:rPr>
          <w:rStyle w:val="FootnoteReference"/>
        </w:rPr>
        <w:footnoteRef/>
      </w:r>
      <w:r>
        <w:t xml:space="preserve"> </w:t>
      </w:r>
      <w:r>
        <w:tab/>
      </w:r>
      <w:r w:rsidRPr="006E28BE">
        <w:rPr>
          <w:i/>
        </w:rPr>
        <w:t>See</w:t>
      </w:r>
      <w:r w:rsidRPr="00B81C1F">
        <w:t xml:space="preserve"> SWEPCO Ex. 17 at 8 and Exhibit RBH-7R.</w:t>
      </w:r>
    </w:p>
  </w:footnote>
  <w:footnote w:id="249">
    <w:p w14:paraId="46E8D153" w14:textId="77777777" w:rsidR="00BF1EC4" w:rsidRDefault="00BF1EC4" w:rsidP="007B62B2">
      <w:pPr>
        <w:pStyle w:val="FootnoteText"/>
      </w:pPr>
      <w:r>
        <w:rPr>
          <w:rStyle w:val="FootnoteReference"/>
        </w:rPr>
        <w:footnoteRef/>
      </w:r>
      <w:r>
        <w:t xml:space="preserve"> </w:t>
      </w:r>
      <w:r>
        <w:tab/>
      </w:r>
      <w:proofErr w:type="gramStart"/>
      <w:r>
        <w:t>TIEC Exceptions at 9.</w:t>
      </w:r>
      <w:proofErr w:type="gramEnd"/>
    </w:p>
  </w:footnote>
  <w:footnote w:id="250">
    <w:p w14:paraId="6CB33C3C" w14:textId="77777777" w:rsidR="00BF1EC4" w:rsidRDefault="00BF1EC4" w:rsidP="007B62B2">
      <w:pPr>
        <w:pStyle w:val="FootnoteText"/>
      </w:pPr>
      <w:r>
        <w:rPr>
          <w:rStyle w:val="FootnoteReference"/>
        </w:rPr>
        <w:footnoteRef/>
      </w:r>
      <w:r>
        <w:t xml:space="preserve"> </w:t>
      </w:r>
      <w:r>
        <w:tab/>
        <w:t>SWEPCO Ex. 17 at 8.</w:t>
      </w:r>
    </w:p>
  </w:footnote>
  <w:footnote w:id="251">
    <w:p w14:paraId="331AB6E5" w14:textId="77777777" w:rsidR="00BF1EC4" w:rsidRDefault="00BF1EC4" w:rsidP="007B62B2">
      <w:pPr>
        <w:pStyle w:val="FootnoteText"/>
      </w:pPr>
      <w:r>
        <w:rPr>
          <w:rStyle w:val="FootnoteReference"/>
        </w:rPr>
        <w:footnoteRef/>
      </w:r>
      <w:r>
        <w:t xml:space="preserve"> </w:t>
      </w:r>
      <w:r>
        <w:tab/>
      </w:r>
      <w:proofErr w:type="gramStart"/>
      <w:r>
        <w:rPr>
          <w:i/>
        </w:rPr>
        <w:t>Year-End 2016 Electric Utility Earnings Reports Pursuant to 16 TAC § 25.73,</w:t>
      </w:r>
      <w:r w:rsidRPr="006E28BE">
        <w:t xml:space="preserve"> </w:t>
      </w:r>
      <w:r>
        <w:t>Staff’s Review of Year-End 2016 PUC Earnings Report at n.3 (Oct. 19, 2017).</w:t>
      </w:r>
      <w:proofErr w:type="gramEnd"/>
    </w:p>
  </w:footnote>
  <w:footnote w:id="252">
    <w:p w14:paraId="22E734A7" w14:textId="77777777" w:rsidR="00BF1EC4" w:rsidRPr="0060007A" w:rsidRDefault="00BF1EC4" w:rsidP="007B62B2">
      <w:pPr>
        <w:pStyle w:val="FootnoteText"/>
      </w:pPr>
      <w:r>
        <w:rPr>
          <w:rStyle w:val="FootnoteReference"/>
        </w:rPr>
        <w:footnoteRef/>
      </w:r>
      <w:r>
        <w:t xml:space="preserve"> </w:t>
      </w:r>
      <w:r>
        <w:tab/>
      </w:r>
      <w:r w:rsidRPr="009E1F40">
        <w:rPr>
          <w:i/>
        </w:rPr>
        <w:t>Generic Issues Associated with Applications for Approval of Unbundled Cost of Service</w:t>
      </w:r>
      <w:r w:rsidRPr="009E1F40">
        <w:t>, Docket</w:t>
      </w:r>
      <w:r>
        <w:t xml:space="preserve"> </w:t>
      </w:r>
      <w:r w:rsidRPr="009E1F40">
        <w:t>No.</w:t>
      </w:r>
      <w:r>
        <w:t> </w:t>
      </w:r>
      <w:r w:rsidRPr="009E1F40">
        <w:t>22344, Order No. 42 at 9 (Dec. 22, 2000) (</w:t>
      </w:r>
      <w:r>
        <w:t>“</w:t>
      </w:r>
      <w:r w:rsidRPr="009E1F40">
        <w:t>Based on these reviews, the Commission concludes there is strong</w:t>
      </w:r>
      <w:r>
        <w:t xml:space="preserve"> </w:t>
      </w:r>
      <w:r w:rsidRPr="009E1F40">
        <w:t>evidence to support the presumption that, relative to the existing market structure, unbundled TDUs in the Electric</w:t>
      </w:r>
      <w:r>
        <w:t xml:space="preserve"> </w:t>
      </w:r>
      <w:r w:rsidRPr="009E1F40">
        <w:t>Reliability Council of Texas (ERCOT) will be exposed to less risk.</w:t>
      </w:r>
      <w:r>
        <w:t>”</w:t>
      </w:r>
      <w:r w:rsidRPr="009E1F40">
        <w:t xml:space="preserve">). </w:t>
      </w:r>
      <w:r>
        <w:t xml:space="preserve"> </w:t>
      </w:r>
      <w:r>
        <w:rPr>
          <w:i/>
        </w:rPr>
        <w:t xml:space="preserve">Application of Lone Star Transmission, LLC for Authority to Establish Interim and Final Rates and Tariffs, </w:t>
      </w:r>
      <w:r w:rsidRPr="009E1F40">
        <w:t>Docket No. 40020, Final Order at 4 (Nov. 7,</w:t>
      </w:r>
      <w:r>
        <w:t xml:space="preserve"> </w:t>
      </w:r>
      <w:r w:rsidRPr="0060007A">
        <w:t xml:space="preserve">2012); </w:t>
      </w:r>
      <w:r>
        <w:t>PFD</w:t>
      </w:r>
      <w:r w:rsidRPr="0060007A">
        <w:t xml:space="preserve"> at 59 (Sep. 6, 2012).</w:t>
      </w:r>
    </w:p>
  </w:footnote>
  <w:footnote w:id="253">
    <w:p w14:paraId="1ADBACC2" w14:textId="77777777" w:rsidR="00BF1EC4" w:rsidRDefault="00BF1EC4">
      <w:pPr>
        <w:pStyle w:val="FootnoteText"/>
      </w:pPr>
      <w:r>
        <w:rPr>
          <w:rStyle w:val="FootnoteReference"/>
        </w:rPr>
        <w:footnoteRef/>
      </w:r>
      <w:r>
        <w:t xml:space="preserve"> </w:t>
      </w:r>
      <w:r>
        <w:tab/>
      </w:r>
      <w:r w:rsidRPr="005D6E0F">
        <w:rPr>
          <w:i/>
        </w:rPr>
        <w:t>Application of Oncor Electric Delivery Company LLC for Authority to Change Rates</w:t>
      </w:r>
      <w:r>
        <w:t>, Docket No. 46957, FoF 32 (Oct. 13, 2017).</w:t>
      </w:r>
    </w:p>
  </w:footnote>
  <w:footnote w:id="254">
    <w:p w14:paraId="787F49E4" w14:textId="77777777" w:rsidR="00BF1EC4" w:rsidRDefault="00BF1EC4" w:rsidP="007B62B2">
      <w:pPr>
        <w:pStyle w:val="FootnoteText"/>
      </w:pPr>
      <w:r w:rsidRPr="005C4722">
        <w:rPr>
          <w:rStyle w:val="FootnoteReference"/>
        </w:rPr>
        <w:footnoteRef/>
      </w:r>
      <w:r w:rsidRPr="005C4722">
        <w:rPr>
          <w:vertAlign w:val="superscript"/>
        </w:rPr>
        <w:t xml:space="preserve"> </w:t>
      </w:r>
      <w:r>
        <w:rPr>
          <w:vertAlign w:val="superscript"/>
        </w:rPr>
        <w:tab/>
      </w:r>
      <w:r>
        <w:t>SWEPCO Initial Brief at 77-78 and 82-83.</w:t>
      </w:r>
    </w:p>
  </w:footnote>
  <w:footnote w:id="255">
    <w:p w14:paraId="4642B19B" w14:textId="77777777" w:rsidR="00BF1EC4" w:rsidRDefault="00BF1EC4" w:rsidP="007B62B2">
      <w:pPr>
        <w:pStyle w:val="FootnoteText"/>
      </w:pPr>
      <w:r w:rsidRPr="005C4722">
        <w:rPr>
          <w:rStyle w:val="FootnoteReference"/>
          <w:rFonts w:eastAsia="Calibri"/>
        </w:rPr>
        <w:footnoteRef/>
      </w:r>
      <w:r w:rsidRPr="005C4722">
        <w:rPr>
          <w:vertAlign w:val="superscript"/>
        </w:rPr>
        <w:t xml:space="preserve"> </w:t>
      </w:r>
      <w:r>
        <w:rPr>
          <w:vertAlign w:val="superscript"/>
        </w:rPr>
        <w:tab/>
      </w:r>
      <w:r w:rsidRPr="005D6E0F">
        <w:rPr>
          <w:i/>
        </w:rPr>
        <w:t>See</w:t>
      </w:r>
      <w:r>
        <w:t xml:space="preserve"> Direct Testimony of Cynthia Zamora, OPUC Ex. 1 at 37-38</w:t>
      </w:r>
      <w:r w:rsidRPr="00716CEE">
        <w:t>.</w:t>
      </w:r>
    </w:p>
  </w:footnote>
  <w:footnote w:id="256">
    <w:p w14:paraId="07A451DE" w14:textId="77777777" w:rsidR="00BF1EC4" w:rsidRDefault="00BF1EC4" w:rsidP="007B62B2">
      <w:pPr>
        <w:pStyle w:val="FootnoteText"/>
      </w:pPr>
      <w:r w:rsidRPr="005C4722">
        <w:rPr>
          <w:rStyle w:val="FootnoteReference"/>
          <w:rFonts w:eastAsia="Calibri"/>
        </w:rPr>
        <w:footnoteRef/>
      </w:r>
      <w:r>
        <w:t xml:space="preserve"> </w:t>
      </w:r>
      <w:r>
        <w:tab/>
      </w:r>
      <w:r w:rsidRPr="00C42DEE">
        <w:rPr>
          <w:i/>
        </w:rPr>
        <w:t>See</w:t>
      </w:r>
      <w:r>
        <w:t xml:space="preserve"> Direct Testimony of Slade Cutter, Staff Ex. 3 at 26.</w:t>
      </w:r>
    </w:p>
  </w:footnote>
  <w:footnote w:id="257">
    <w:p w14:paraId="45E55ADC" w14:textId="77777777" w:rsidR="00BF1EC4" w:rsidRPr="00432A0E" w:rsidRDefault="00BF1EC4" w:rsidP="007B62B2">
      <w:pPr>
        <w:pStyle w:val="FootnoteText"/>
      </w:pPr>
      <w:r w:rsidRPr="005C4722">
        <w:rPr>
          <w:rStyle w:val="FootnoteReference"/>
          <w:rFonts w:eastAsia="Calibri"/>
        </w:rPr>
        <w:footnoteRef/>
      </w:r>
      <w:r w:rsidRPr="005C4722">
        <w:rPr>
          <w:vertAlign w:val="superscript"/>
        </w:rPr>
        <w:t xml:space="preserve"> </w:t>
      </w:r>
      <w:r>
        <w:rPr>
          <w:vertAlign w:val="superscript"/>
        </w:rPr>
        <w:tab/>
      </w:r>
      <w:r w:rsidRPr="00C42DEE">
        <w:rPr>
          <w:i/>
        </w:rPr>
        <w:t>See</w:t>
      </w:r>
      <w:r w:rsidRPr="00432A0E">
        <w:t xml:space="preserve"> </w:t>
      </w:r>
      <w:r>
        <w:t xml:space="preserve">Direct Testimony of Michael Gorman, TIEC Ex. 2 </w:t>
      </w:r>
      <w:r w:rsidRPr="00432A0E">
        <w:t xml:space="preserve">at </w:t>
      </w:r>
      <w:r>
        <w:t xml:space="preserve">54; Direct Testimony of David Parcell, CARD Ex. 2 </w:t>
      </w:r>
      <w:r w:rsidRPr="00D02E6C">
        <w:t xml:space="preserve">at </w:t>
      </w:r>
      <w:r w:rsidRPr="00716CEE">
        <w:t>3.</w:t>
      </w:r>
    </w:p>
  </w:footnote>
  <w:footnote w:id="258">
    <w:p w14:paraId="0ADB8005" w14:textId="77777777" w:rsidR="00BF1EC4" w:rsidRDefault="00BF1EC4" w:rsidP="007B62B2">
      <w:pPr>
        <w:pStyle w:val="FootnoteText"/>
      </w:pPr>
      <w:r w:rsidRPr="00EE3EE4">
        <w:rPr>
          <w:rStyle w:val="FootnoteReference"/>
        </w:rPr>
        <w:footnoteRef/>
      </w:r>
      <w:r w:rsidRPr="00EE3EE4">
        <w:t xml:space="preserve"> </w:t>
      </w:r>
      <w:r w:rsidRPr="00EE3EE4">
        <w:tab/>
      </w:r>
      <w:r>
        <w:t xml:space="preserve">SWEPCO Exceptions at 43-44; </w:t>
      </w:r>
      <w:r w:rsidRPr="00FB04F3">
        <w:rPr>
          <w:i/>
        </w:rPr>
        <w:t>see</w:t>
      </w:r>
      <w:r>
        <w:rPr>
          <w:i/>
        </w:rPr>
        <w:t xml:space="preserve"> also,</w:t>
      </w:r>
      <w:r>
        <w:t xml:space="preserve"> </w:t>
      </w:r>
      <w:r w:rsidRPr="00EE3EE4">
        <w:t>SWEPCO Initial Brief at 77-78 and 82-83.</w:t>
      </w:r>
    </w:p>
  </w:footnote>
  <w:footnote w:id="259">
    <w:p w14:paraId="21CAE7FB" w14:textId="77777777" w:rsidR="00BF1EC4" w:rsidRDefault="00BF1EC4" w:rsidP="007B62B2">
      <w:pPr>
        <w:pStyle w:val="FootnoteText"/>
      </w:pPr>
      <w:r w:rsidRPr="005C4722">
        <w:rPr>
          <w:rStyle w:val="FootnoteReference"/>
          <w:rFonts w:eastAsia="Calibri"/>
        </w:rPr>
        <w:footnoteRef/>
      </w:r>
      <w:r w:rsidRPr="005C4722">
        <w:rPr>
          <w:vertAlign w:val="superscript"/>
        </w:rPr>
        <w:t xml:space="preserve"> </w:t>
      </w:r>
      <w:r>
        <w:rPr>
          <w:vertAlign w:val="superscript"/>
        </w:rPr>
        <w:tab/>
      </w:r>
      <w:r>
        <w:t>SWEPCO Ex. 17 at 8.</w:t>
      </w:r>
    </w:p>
  </w:footnote>
  <w:footnote w:id="260">
    <w:p w14:paraId="00324973" w14:textId="77777777" w:rsidR="00BF1EC4" w:rsidRDefault="00BF1EC4" w:rsidP="007B62B2">
      <w:pPr>
        <w:pStyle w:val="FootnoteText"/>
      </w:pPr>
      <w:r>
        <w:rPr>
          <w:rStyle w:val="FootnoteReference"/>
        </w:rPr>
        <w:footnoteRef/>
      </w:r>
      <w:r>
        <w:t xml:space="preserve"> </w:t>
      </w:r>
      <w:r>
        <w:tab/>
      </w:r>
      <w:proofErr w:type="gramStart"/>
      <w:r>
        <w:t>TIEC Exceptions at 10; OPUC Exceptions at 20.</w:t>
      </w:r>
      <w:proofErr w:type="gramEnd"/>
      <w:r>
        <w:t xml:space="preserve">  </w:t>
      </w:r>
    </w:p>
  </w:footnote>
  <w:footnote w:id="261">
    <w:p w14:paraId="24387C46" w14:textId="77777777" w:rsidR="00BF1EC4" w:rsidRDefault="00BF1EC4" w:rsidP="007B62B2">
      <w:pPr>
        <w:pStyle w:val="FootnoteText"/>
      </w:pPr>
      <w:r>
        <w:rPr>
          <w:rStyle w:val="FootnoteReference"/>
        </w:rPr>
        <w:footnoteRef/>
      </w:r>
      <w:r>
        <w:t xml:space="preserve"> </w:t>
      </w:r>
      <w:r>
        <w:tab/>
        <w:t xml:space="preserve">Mr. Hevert explained that Virginia statutes authorize the State Corporation Commission to approve ROE premiums of up to 200 basis points for certain generation projects.  In Illinois, on the other hand, statutes require the ROEs for Commonwealth Edison and Ameren Illinois to be re-set annually, under a formula rate plan ratemaking paradigm where the allowed ROE is set by application of a 580 basis-point premium to the 12-month average 30-year Treasury </w:t>
      </w:r>
      <w:proofErr w:type="gramStart"/>
      <w:r>
        <w:t>Bond</w:t>
      </w:r>
      <w:proofErr w:type="gramEnd"/>
      <w:r>
        <w:t xml:space="preserve"> yield.  In the historically low interest rate environment, this framework has resulted in the lowest ROEs in at least 30 years.  SWEPCO Ex. 17 at 14.</w:t>
      </w:r>
    </w:p>
  </w:footnote>
  <w:footnote w:id="262">
    <w:p w14:paraId="26044573" w14:textId="77777777" w:rsidR="00BF1EC4" w:rsidRDefault="00BF1EC4" w:rsidP="007B62B2">
      <w:pPr>
        <w:pStyle w:val="FootnoteText"/>
      </w:pPr>
      <w:r>
        <w:rPr>
          <w:rStyle w:val="FootnoteReference"/>
        </w:rPr>
        <w:footnoteRef/>
      </w:r>
      <w:r>
        <w:t xml:space="preserve"> </w:t>
      </w:r>
      <w:r>
        <w:tab/>
        <w:t>SWEPCO Ex. 17 at 13-19.</w:t>
      </w:r>
    </w:p>
  </w:footnote>
  <w:footnote w:id="263">
    <w:p w14:paraId="0CE9219A" w14:textId="77777777" w:rsidR="00BF1EC4" w:rsidRDefault="00BF1EC4" w:rsidP="007B62B2">
      <w:pPr>
        <w:pStyle w:val="FootnoteText"/>
      </w:pPr>
      <w:r>
        <w:rPr>
          <w:rStyle w:val="FootnoteReference"/>
        </w:rPr>
        <w:footnoteRef/>
      </w:r>
      <w:r>
        <w:t xml:space="preserve"> </w:t>
      </w:r>
      <w:r>
        <w:tab/>
        <w:t>SWEPCO Ex. 17 at 16.</w:t>
      </w:r>
    </w:p>
  </w:footnote>
  <w:footnote w:id="264">
    <w:p w14:paraId="66BAB5BC" w14:textId="77777777" w:rsidR="00BF1EC4" w:rsidRDefault="00BF1EC4" w:rsidP="007B62B2">
      <w:pPr>
        <w:pStyle w:val="FootnoteText"/>
      </w:pPr>
      <w:r>
        <w:rPr>
          <w:rStyle w:val="FootnoteReference"/>
        </w:rPr>
        <w:footnoteRef/>
      </w:r>
      <w:r>
        <w:t xml:space="preserve"> </w:t>
      </w:r>
      <w:r>
        <w:tab/>
        <w:t>SWEPCO Ex. 17 at 16.</w:t>
      </w:r>
    </w:p>
  </w:footnote>
  <w:footnote w:id="265">
    <w:p w14:paraId="23DACE42" w14:textId="77777777" w:rsidR="00BF1EC4" w:rsidRDefault="00BF1EC4" w:rsidP="007B62B2">
      <w:pPr>
        <w:pStyle w:val="FootnoteText"/>
      </w:pPr>
      <w:r>
        <w:rPr>
          <w:rStyle w:val="FootnoteReference"/>
        </w:rPr>
        <w:footnoteRef/>
      </w:r>
      <w:r>
        <w:t xml:space="preserve"> </w:t>
      </w:r>
      <w:r>
        <w:tab/>
        <w:t>SWEPCO Ex. 17 at 17.</w:t>
      </w:r>
    </w:p>
  </w:footnote>
  <w:footnote w:id="266">
    <w:p w14:paraId="1C276F1A" w14:textId="77777777" w:rsidR="00BF1EC4" w:rsidRDefault="00BF1EC4" w:rsidP="007B62B2">
      <w:pPr>
        <w:pStyle w:val="FootnoteText"/>
      </w:pPr>
      <w:r>
        <w:rPr>
          <w:rStyle w:val="FootnoteReference"/>
        </w:rPr>
        <w:footnoteRef/>
      </w:r>
      <w:r>
        <w:t xml:space="preserve"> </w:t>
      </w:r>
      <w:r>
        <w:tab/>
      </w:r>
      <w:proofErr w:type="gramStart"/>
      <w:r>
        <w:t>TIEC Exceptions at 9</w:t>
      </w:r>
      <w:r w:rsidRPr="00E06B61">
        <w:t>.</w:t>
      </w:r>
      <w:proofErr w:type="gramEnd"/>
    </w:p>
  </w:footnote>
  <w:footnote w:id="267">
    <w:p w14:paraId="2FDE09F8" w14:textId="77777777" w:rsidR="00BF1EC4" w:rsidRDefault="00BF1EC4" w:rsidP="007B62B2">
      <w:pPr>
        <w:pStyle w:val="FootnoteText"/>
      </w:pPr>
      <w:r>
        <w:rPr>
          <w:rStyle w:val="FootnoteReference"/>
        </w:rPr>
        <w:footnoteRef/>
      </w:r>
      <w:r>
        <w:t xml:space="preserve"> </w:t>
      </w:r>
      <w:r>
        <w:tab/>
      </w:r>
      <w:proofErr w:type="gramStart"/>
      <w:r>
        <w:t>TIEC Exceptions at 9.</w:t>
      </w:r>
      <w:proofErr w:type="gramEnd"/>
    </w:p>
  </w:footnote>
  <w:footnote w:id="268">
    <w:p w14:paraId="74313A8B" w14:textId="77777777" w:rsidR="00BF1EC4" w:rsidRDefault="00BF1EC4" w:rsidP="007B62B2">
      <w:pPr>
        <w:pStyle w:val="FootnoteText"/>
      </w:pPr>
      <w:r>
        <w:rPr>
          <w:rStyle w:val="FootnoteReference"/>
        </w:rPr>
        <w:footnoteRef/>
      </w:r>
      <w:r>
        <w:t xml:space="preserve"> </w:t>
      </w:r>
      <w:r>
        <w:tab/>
      </w:r>
      <w:proofErr w:type="gramStart"/>
      <w:r>
        <w:t>TIEC Exceptions at 11</w:t>
      </w:r>
      <w:r w:rsidRPr="00E06B61">
        <w:t>.</w:t>
      </w:r>
      <w:proofErr w:type="gramEnd"/>
    </w:p>
  </w:footnote>
  <w:footnote w:id="269">
    <w:p w14:paraId="1F9FE354" w14:textId="77777777" w:rsidR="00BF1EC4" w:rsidRDefault="00BF1EC4" w:rsidP="007B62B2">
      <w:pPr>
        <w:pStyle w:val="FootnoteText"/>
      </w:pPr>
      <w:r>
        <w:rPr>
          <w:rStyle w:val="FootnoteReference"/>
        </w:rPr>
        <w:footnoteRef/>
      </w:r>
      <w:r>
        <w:t xml:space="preserve"> </w:t>
      </w:r>
      <w:r>
        <w:tab/>
      </w:r>
      <w:proofErr w:type="gramStart"/>
      <w:r>
        <w:t xml:space="preserve">Rebuttal Testimony of David A. Davis, </w:t>
      </w:r>
      <w:r w:rsidRPr="00E06B61">
        <w:t>SWEPCO Ex. 58 at 90.</w:t>
      </w:r>
      <w:proofErr w:type="gramEnd"/>
    </w:p>
  </w:footnote>
  <w:footnote w:id="270">
    <w:p w14:paraId="53E0D885" w14:textId="77777777" w:rsidR="00BF1EC4" w:rsidRDefault="00BF1EC4" w:rsidP="007B62B2">
      <w:pPr>
        <w:pStyle w:val="FootnoteText"/>
      </w:pPr>
      <w:r>
        <w:rPr>
          <w:rStyle w:val="FootnoteReference"/>
        </w:rPr>
        <w:footnoteRef/>
      </w:r>
      <w:r>
        <w:t xml:space="preserve"> </w:t>
      </w:r>
      <w:r>
        <w:tab/>
      </w:r>
      <w:r w:rsidRPr="005F6605">
        <w:rPr>
          <w:i/>
        </w:rPr>
        <w:t>See, e.g</w:t>
      </w:r>
      <w:r>
        <w:t>., CARD Exceptions at 17-19; OPUC Exceptions at 21.</w:t>
      </w:r>
    </w:p>
  </w:footnote>
  <w:footnote w:id="271">
    <w:p w14:paraId="73DF3956" w14:textId="77777777" w:rsidR="00BF1EC4" w:rsidRDefault="00BF1EC4" w:rsidP="007B62B2">
      <w:pPr>
        <w:pStyle w:val="FootnoteText"/>
      </w:pPr>
      <w:r>
        <w:rPr>
          <w:rStyle w:val="FootnoteReference"/>
        </w:rPr>
        <w:footnoteRef/>
      </w:r>
      <w:r>
        <w:t xml:space="preserve"> </w:t>
      </w:r>
      <w:r>
        <w:tab/>
        <w:t xml:space="preserve">Tr. 1838:17-1839:15 (Hevert Redirect) (June 14, 2017).  </w:t>
      </w:r>
      <w:r w:rsidRPr="00D43A3E">
        <w:t xml:space="preserve">Also </w:t>
      </w:r>
      <w:r w:rsidRPr="00D335F7">
        <w:rPr>
          <w:i/>
        </w:rPr>
        <w:t>see, In the Matter of Liberty Utilities (Midstates Natural Gas) Corp. dba Liberty Utilities’ Tariff Revisions Designed to Implement a General Rate Increase for Natural Gas Service in the Missouri Service Areas of the Company</w:t>
      </w:r>
      <w:r w:rsidRPr="00D96287">
        <w:t xml:space="preserve">, File No. </w:t>
      </w:r>
      <w:r>
        <w:t>GR-2014-0152, Report and Order at</w:t>
      </w:r>
      <w:r w:rsidRPr="00D96287">
        <w:t xml:space="preserve"> 22-26 (Dec. 3, 2014)</w:t>
      </w:r>
      <w:r>
        <w:t xml:space="preserve"> (available at </w:t>
      </w:r>
      <w:hyperlink r:id="rId1" w:history="1">
        <w:r w:rsidRPr="004067D9">
          <w:rPr>
            <w:rStyle w:val="Hyperlink"/>
          </w:rPr>
          <w:t>https://psc.mo.gov/CMSInternetData/ON/Orders/2014/120314152.htm</w:t>
        </w:r>
      </w:hyperlink>
      <w:r>
        <w:t>)</w:t>
      </w:r>
      <w:r w:rsidRPr="00D96287">
        <w:t>.</w:t>
      </w:r>
      <w:r>
        <w:t xml:space="preserve"> </w:t>
      </w:r>
    </w:p>
  </w:footnote>
  <w:footnote w:id="272">
    <w:p w14:paraId="55A77BF9" w14:textId="77777777" w:rsidR="00BF1EC4" w:rsidRDefault="00BF1EC4" w:rsidP="007B62B2">
      <w:pPr>
        <w:pStyle w:val="FootnoteText"/>
      </w:pPr>
      <w:r>
        <w:rPr>
          <w:rStyle w:val="FootnoteReference"/>
        </w:rPr>
        <w:footnoteRef/>
      </w:r>
      <w:r>
        <w:t xml:space="preserve"> </w:t>
      </w:r>
      <w:r>
        <w:tab/>
      </w:r>
      <w:r>
        <w:rPr>
          <w:i/>
        </w:rPr>
        <w:t xml:space="preserve">Application of Southwestern Public Service Company for Authority to Change Rates, </w:t>
      </w:r>
      <w:r>
        <w:t>Docket No. 43695, PFD at 69 (Oct. 12, 2015).</w:t>
      </w:r>
    </w:p>
  </w:footnote>
  <w:footnote w:id="273">
    <w:p w14:paraId="154BD04F" w14:textId="77777777" w:rsidR="00BF1EC4" w:rsidRDefault="00BF1EC4" w:rsidP="007B62B2">
      <w:pPr>
        <w:pStyle w:val="FootnoteText"/>
      </w:pPr>
      <w:r>
        <w:rPr>
          <w:rStyle w:val="FootnoteReference"/>
        </w:rPr>
        <w:footnoteRef/>
      </w:r>
      <w:r>
        <w:t xml:space="preserve"> </w:t>
      </w:r>
      <w:r>
        <w:tab/>
      </w:r>
      <w:proofErr w:type="gramStart"/>
      <w:r>
        <w:t>PFD at 195.</w:t>
      </w:r>
      <w:proofErr w:type="gramEnd"/>
    </w:p>
  </w:footnote>
  <w:footnote w:id="274">
    <w:p w14:paraId="188319CE" w14:textId="77777777" w:rsidR="00BF1EC4" w:rsidRDefault="00BF1EC4" w:rsidP="007B62B2">
      <w:pPr>
        <w:pStyle w:val="FootnoteText"/>
      </w:pPr>
      <w:r>
        <w:rPr>
          <w:rStyle w:val="FootnoteReference"/>
        </w:rPr>
        <w:footnoteRef/>
      </w:r>
      <w:r>
        <w:t xml:space="preserve"> </w:t>
      </w:r>
      <w:r>
        <w:tab/>
        <w:t>PFD at 197; Tr. at 489:25-490:22 (Franklin Redirect) (June 6, 2017); Tr. at 2084:22-2086:5 (Franklin Redirect) (June 14, 2017).</w:t>
      </w:r>
    </w:p>
  </w:footnote>
  <w:footnote w:id="275">
    <w:p w14:paraId="7881A2AA" w14:textId="77777777" w:rsidR="00BF1EC4" w:rsidRDefault="00BF1EC4" w:rsidP="007B62B2">
      <w:pPr>
        <w:pStyle w:val="FootnoteText"/>
      </w:pPr>
      <w:r>
        <w:rPr>
          <w:rStyle w:val="FootnoteReference"/>
        </w:rPr>
        <w:footnoteRef/>
      </w:r>
      <w:r>
        <w:t xml:space="preserve"> </w:t>
      </w:r>
      <w:r>
        <w:tab/>
        <w:t>Direct Testimony of Jeffry Pollock, TIEC Ex. 1 at 37, 38 (historical averages begin with 2012); Tr. at 1497:15-1498:8 (Pollock Cross) (June 12, 2017) (result of Mr. Pollock’s recommendation would be $138.9 million in rates) effect.</w:t>
      </w:r>
    </w:p>
  </w:footnote>
  <w:footnote w:id="276">
    <w:p w14:paraId="204A41C1" w14:textId="77777777" w:rsidR="00BF1EC4" w:rsidRDefault="00BF1EC4" w:rsidP="007B62B2">
      <w:pPr>
        <w:pStyle w:val="FootnoteText"/>
      </w:pPr>
      <w:r>
        <w:rPr>
          <w:rStyle w:val="FootnoteReference"/>
        </w:rPr>
        <w:footnoteRef/>
      </w:r>
      <w:r>
        <w:t xml:space="preserve"> </w:t>
      </w:r>
      <w:r>
        <w:tab/>
      </w:r>
      <w:proofErr w:type="gramStart"/>
      <w:r>
        <w:t>PFD at 203.</w:t>
      </w:r>
      <w:proofErr w:type="gramEnd"/>
    </w:p>
  </w:footnote>
  <w:footnote w:id="277">
    <w:p w14:paraId="5BC95577" w14:textId="77777777" w:rsidR="00BF1EC4" w:rsidRDefault="00BF1EC4" w:rsidP="007B62B2">
      <w:pPr>
        <w:pStyle w:val="FootnoteText"/>
      </w:pPr>
      <w:r>
        <w:rPr>
          <w:rStyle w:val="FootnoteReference"/>
        </w:rPr>
        <w:footnoteRef/>
      </w:r>
      <w:r>
        <w:t xml:space="preserve"> </w:t>
      </w:r>
      <w:r>
        <w:tab/>
        <w:t>TIEC Exceptions at 12-17.</w:t>
      </w:r>
    </w:p>
  </w:footnote>
  <w:footnote w:id="278">
    <w:p w14:paraId="55E09397" w14:textId="77777777" w:rsidR="00BF1EC4" w:rsidRDefault="00BF1EC4" w:rsidP="007B62B2">
      <w:pPr>
        <w:pStyle w:val="FootnoteText"/>
      </w:pPr>
      <w:r>
        <w:rPr>
          <w:rStyle w:val="FootnoteReference"/>
        </w:rPr>
        <w:footnoteRef/>
      </w:r>
      <w:r>
        <w:t xml:space="preserve"> </w:t>
      </w:r>
      <w:r>
        <w:tab/>
        <w:t>PFD at 195-203.</w:t>
      </w:r>
    </w:p>
  </w:footnote>
  <w:footnote w:id="279">
    <w:p w14:paraId="238AEE22" w14:textId="77777777" w:rsidR="00BF1EC4" w:rsidRDefault="00BF1EC4" w:rsidP="007B62B2">
      <w:pPr>
        <w:pStyle w:val="FootnoteText"/>
      </w:pPr>
      <w:r>
        <w:rPr>
          <w:rStyle w:val="FootnoteReference"/>
        </w:rPr>
        <w:footnoteRef/>
      </w:r>
      <w:r>
        <w:t xml:space="preserve"> </w:t>
      </w:r>
      <w:r>
        <w:tab/>
        <w:t>PFD at 202-203.</w:t>
      </w:r>
    </w:p>
  </w:footnote>
  <w:footnote w:id="280">
    <w:p w14:paraId="23DE65DF" w14:textId="77777777" w:rsidR="00BF1EC4" w:rsidRDefault="00BF1EC4" w:rsidP="007B62B2">
      <w:pPr>
        <w:pStyle w:val="FootnoteText"/>
      </w:pPr>
      <w:r>
        <w:rPr>
          <w:rStyle w:val="FootnoteReference"/>
        </w:rPr>
        <w:footnoteRef/>
      </w:r>
      <w:r>
        <w:t>.</w:t>
      </w:r>
      <w:r>
        <w:tab/>
        <w:t>PFD at 199; Tr. at 1476; 6-18 (Pollock Cross) (June 12, 2017).</w:t>
      </w:r>
    </w:p>
  </w:footnote>
  <w:footnote w:id="281">
    <w:p w14:paraId="25F6D57C" w14:textId="77777777" w:rsidR="00BF1EC4" w:rsidRDefault="00BF1EC4" w:rsidP="007B62B2">
      <w:pPr>
        <w:pStyle w:val="FootnoteText"/>
      </w:pPr>
      <w:r>
        <w:rPr>
          <w:rStyle w:val="FootnoteReference"/>
        </w:rPr>
        <w:footnoteRef/>
      </w:r>
      <w:r>
        <w:t xml:space="preserve"> </w:t>
      </w:r>
      <w:r>
        <w:tab/>
        <w:t>TIEC Ex. 1 at 37.</w:t>
      </w:r>
    </w:p>
  </w:footnote>
  <w:footnote w:id="282">
    <w:p w14:paraId="0968B5BD" w14:textId="77777777" w:rsidR="00BF1EC4" w:rsidRDefault="00BF1EC4" w:rsidP="007B62B2">
      <w:pPr>
        <w:pStyle w:val="FootnoteText"/>
      </w:pPr>
      <w:r>
        <w:rPr>
          <w:rStyle w:val="FootnoteReference"/>
        </w:rPr>
        <w:footnoteRef/>
      </w:r>
      <w:r>
        <w:t xml:space="preserve"> </w:t>
      </w:r>
      <w:r>
        <w:tab/>
        <w:t>PFD at 198-199.</w:t>
      </w:r>
    </w:p>
  </w:footnote>
  <w:footnote w:id="283">
    <w:p w14:paraId="1110D646" w14:textId="77777777" w:rsidR="00BF1EC4" w:rsidRDefault="00BF1EC4" w:rsidP="007B62B2">
      <w:pPr>
        <w:pStyle w:val="FootnoteText"/>
      </w:pPr>
      <w:r>
        <w:rPr>
          <w:rStyle w:val="FootnoteReference"/>
        </w:rPr>
        <w:footnoteRef/>
      </w:r>
      <w:r>
        <w:t xml:space="preserve"> </w:t>
      </w:r>
      <w:r>
        <w:tab/>
        <w:t>Tr. at 1483:13-1484:15 (Pollock Cross) (June 12, 2017).</w:t>
      </w:r>
    </w:p>
  </w:footnote>
  <w:footnote w:id="284">
    <w:p w14:paraId="4DF90143" w14:textId="77777777" w:rsidR="00BF1EC4" w:rsidRPr="004569ED" w:rsidRDefault="00BF1EC4" w:rsidP="007B62B2">
      <w:pPr>
        <w:pStyle w:val="FootnoteText"/>
      </w:pPr>
      <w:r>
        <w:rPr>
          <w:rStyle w:val="FootnoteReference"/>
        </w:rPr>
        <w:footnoteRef/>
      </w:r>
      <w:r>
        <w:t xml:space="preserve"> </w:t>
      </w:r>
      <w:r>
        <w:tab/>
      </w:r>
      <w:r w:rsidRPr="004569ED">
        <w:t>TIEC Ex. 1 at 40; TIEC Exceptions at 12: “Indeed, the Commission approved a similar normalization adjustment to SWEPCO’s planned outage expense proposed by Mr. Pollock in SWEPCO’s last base rate case, Docket No. 40443.”</w:t>
      </w:r>
    </w:p>
  </w:footnote>
  <w:footnote w:id="285">
    <w:p w14:paraId="64B24C44" w14:textId="77777777" w:rsidR="00BF1EC4" w:rsidRDefault="00BF1EC4" w:rsidP="007B62B2">
      <w:pPr>
        <w:pStyle w:val="FootnoteText"/>
      </w:pPr>
      <w:r>
        <w:rPr>
          <w:rStyle w:val="FootnoteReference"/>
        </w:rPr>
        <w:footnoteRef/>
      </w:r>
      <w:r>
        <w:t xml:space="preserve"> </w:t>
      </w:r>
      <w:r>
        <w:tab/>
        <w:t>PFD at 202 (emphasis added).</w:t>
      </w:r>
    </w:p>
  </w:footnote>
  <w:footnote w:id="286">
    <w:p w14:paraId="2724C03F" w14:textId="77777777" w:rsidR="00BF1EC4" w:rsidRDefault="00BF1EC4" w:rsidP="007B62B2">
      <w:pPr>
        <w:pStyle w:val="FootnoteText"/>
      </w:pPr>
      <w:r>
        <w:rPr>
          <w:rStyle w:val="FootnoteReference"/>
        </w:rPr>
        <w:footnoteRef/>
      </w:r>
      <w:r>
        <w:t xml:space="preserve"> </w:t>
      </w:r>
      <w:r>
        <w:tab/>
        <w:t>PFD at 202 (emphasis added).</w:t>
      </w:r>
    </w:p>
  </w:footnote>
  <w:footnote w:id="287">
    <w:p w14:paraId="47EFE7CF" w14:textId="77777777" w:rsidR="00BF1EC4" w:rsidRDefault="00BF1EC4" w:rsidP="007B62B2">
      <w:pPr>
        <w:pStyle w:val="FootnoteText"/>
      </w:pPr>
      <w:r>
        <w:rPr>
          <w:rStyle w:val="FootnoteReference"/>
        </w:rPr>
        <w:footnoteRef/>
      </w:r>
      <w:r>
        <w:t xml:space="preserve"> </w:t>
      </w:r>
      <w:r>
        <w:tab/>
      </w:r>
      <w:proofErr w:type="gramStart"/>
      <w:r>
        <w:t>SWEPCO’s response to TIEC 2-22, SWEPCO Ex. 70, Attachment 1 at 15 of 15 (last entry in “Test Year” column); Tr. at 1498:9-1499:6 (Pollock Cross) (June 12, 2017).</w:t>
      </w:r>
      <w:proofErr w:type="gramEnd"/>
    </w:p>
  </w:footnote>
  <w:footnote w:id="288">
    <w:p w14:paraId="599CCF82" w14:textId="77777777" w:rsidR="00BF1EC4" w:rsidRDefault="00BF1EC4" w:rsidP="00C542BB">
      <w:pPr>
        <w:pStyle w:val="FootnoteText"/>
      </w:pPr>
      <w:r>
        <w:rPr>
          <w:rStyle w:val="FootnoteReference"/>
        </w:rPr>
        <w:footnoteRef/>
      </w:r>
      <w:r>
        <w:t xml:space="preserve"> </w:t>
      </w:r>
      <w:r>
        <w:tab/>
      </w:r>
      <w:proofErr w:type="gramStart"/>
      <w:r>
        <w:t>PFD at 203.</w:t>
      </w:r>
      <w:proofErr w:type="gramEnd"/>
    </w:p>
  </w:footnote>
  <w:footnote w:id="289">
    <w:p w14:paraId="6FD189DC" w14:textId="77777777" w:rsidR="00BF1EC4" w:rsidRDefault="00BF1EC4" w:rsidP="007B62B2">
      <w:pPr>
        <w:pStyle w:val="FootnoteText"/>
      </w:pPr>
      <w:r>
        <w:rPr>
          <w:rStyle w:val="FootnoteReference"/>
        </w:rPr>
        <w:footnoteRef/>
      </w:r>
      <w:r>
        <w:t xml:space="preserve"> </w:t>
      </w:r>
      <w:r>
        <w:tab/>
        <w:t>Tr. at 2085:19-2086:1 (Franklin Redirect) (June 14, 2017).</w:t>
      </w:r>
    </w:p>
  </w:footnote>
  <w:footnote w:id="290">
    <w:p w14:paraId="54A2C2BE" w14:textId="77777777" w:rsidR="00BF1EC4" w:rsidRDefault="00BF1EC4" w:rsidP="007B62B2">
      <w:pPr>
        <w:pStyle w:val="FootnoteText"/>
      </w:pPr>
      <w:r>
        <w:rPr>
          <w:rStyle w:val="FootnoteReference"/>
        </w:rPr>
        <w:footnoteRef/>
      </w:r>
      <w:r>
        <w:t xml:space="preserve"> </w:t>
      </w:r>
      <w:r>
        <w:tab/>
      </w:r>
      <w:proofErr w:type="gramStart"/>
      <w:r>
        <w:t>TIEC Exceptions at 16.</w:t>
      </w:r>
      <w:proofErr w:type="gramEnd"/>
    </w:p>
  </w:footnote>
  <w:footnote w:id="291">
    <w:p w14:paraId="0315DC9A" w14:textId="77777777" w:rsidR="00BF1EC4" w:rsidRDefault="00BF1EC4" w:rsidP="007B62B2">
      <w:pPr>
        <w:pStyle w:val="FootnoteText"/>
      </w:pPr>
      <w:r>
        <w:rPr>
          <w:rStyle w:val="FootnoteReference"/>
        </w:rPr>
        <w:footnoteRef/>
      </w:r>
      <w:r>
        <w:t xml:space="preserve"> </w:t>
      </w:r>
      <w:r>
        <w:tab/>
        <w:t>Tr. at 1484:11-12 (Pollock Cross) (June 12, 2017).</w:t>
      </w:r>
    </w:p>
  </w:footnote>
  <w:footnote w:id="292">
    <w:p w14:paraId="78BCB0CC" w14:textId="77777777" w:rsidR="00BF1EC4" w:rsidRDefault="00BF1EC4" w:rsidP="007B62B2">
      <w:pPr>
        <w:pStyle w:val="FootnoteText"/>
      </w:pPr>
      <w:r>
        <w:rPr>
          <w:rStyle w:val="FootnoteReference"/>
        </w:rPr>
        <w:footnoteRef/>
      </w:r>
      <w:r>
        <w:t xml:space="preserve"> </w:t>
      </w:r>
      <w:r>
        <w:tab/>
        <w:t>Tr. at 1479:6-12 (Pollock Cross) (June 12, 2017).</w:t>
      </w:r>
    </w:p>
  </w:footnote>
  <w:footnote w:id="293">
    <w:p w14:paraId="79D76C6F" w14:textId="77777777" w:rsidR="00BF1EC4" w:rsidRDefault="00BF1EC4" w:rsidP="007B62B2">
      <w:pPr>
        <w:pStyle w:val="FootnoteText"/>
      </w:pPr>
      <w:r>
        <w:rPr>
          <w:rStyle w:val="FootnoteReference"/>
        </w:rPr>
        <w:footnoteRef/>
      </w:r>
      <w:r>
        <w:t xml:space="preserve"> </w:t>
      </w:r>
      <w:r>
        <w:tab/>
        <w:t>Tr. at 1483:13-1484:15 (Pollock Cross) (June 12, 2017).  Mr. Pollock projected expenses out for the years 2012 through 2014, beyond the 2011 test year.  Docket No. 40443 Direct Testimony of Jeffry Pollock excerpt, SWEPCO Ex. 68 at 37.</w:t>
      </w:r>
    </w:p>
  </w:footnote>
  <w:footnote w:id="294">
    <w:p w14:paraId="5867C580" w14:textId="77777777" w:rsidR="00BF1EC4" w:rsidRDefault="00BF1EC4" w:rsidP="007B62B2">
      <w:pPr>
        <w:pStyle w:val="FootnoteText"/>
      </w:pPr>
      <w:r>
        <w:rPr>
          <w:rStyle w:val="FootnoteReference"/>
        </w:rPr>
        <w:footnoteRef/>
      </w:r>
      <w:r>
        <w:t xml:space="preserve"> </w:t>
      </w:r>
      <w:r>
        <w:tab/>
        <w:t>Docket No. 40443 TIEC Reply Brief excerpt, SWEPCO Ex 69 at 46.</w:t>
      </w:r>
    </w:p>
  </w:footnote>
  <w:footnote w:id="295">
    <w:p w14:paraId="20109DFD" w14:textId="77777777" w:rsidR="00BF1EC4" w:rsidRDefault="00BF1EC4" w:rsidP="007B62B2">
      <w:pPr>
        <w:pStyle w:val="FootnoteText"/>
      </w:pPr>
      <w:r>
        <w:rPr>
          <w:rStyle w:val="FootnoteReference"/>
        </w:rPr>
        <w:footnoteRef/>
      </w:r>
      <w:r>
        <w:t xml:space="preserve"> </w:t>
      </w:r>
      <w:r>
        <w:tab/>
      </w:r>
      <w:proofErr w:type="gramStart"/>
      <w:r>
        <w:t>SWEPCO EX 69 at 46.</w:t>
      </w:r>
      <w:proofErr w:type="gramEnd"/>
    </w:p>
  </w:footnote>
  <w:footnote w:id="296">
    <w:p w14:paraId="3889A843" w14:textId="77777777" w:rsidR="00BF1EC4" w:rsidRDefault="00BF1EC4" w:rsidP="007B62B2">
      <w:pPr>
        <w:pStyle w:val="FootnoteText"/>
      </w:pPr>
      <w:r>
        <w:rPr>
          <w:rStyle w:val="FootnoteReference"/>
        </w:rPr>
        <w:footnoteRef/>
      </w:r>
      <w:r>
        <w:t xml:space="preserve"> </w:t>
      </w:r>
      <w:r>
        <w:tab/>
      </w:r>
      <w:proofErr w:type="gramStart"/>
      <w:r>
        <w:t>SWEPCO EX 69 at 48.</w:t>
      </w:r>
      <w:proofErr w:type="gramEnd"/>
    </w:p>
  </w:footnote>
  <w:footnote w:id="297">
    <w:p w14:paraId="1408D268" w14:textId="77777777" w:rsidR="00BF1EC4" w:rsidRDefault="00BF1EC4" w:rsidP="007B62B2">
      <w:pPr>
        <w:pStyle w:val="FootnoteText"/>
      </w:pPr>
      <w:r>
        <w:rPr>
          <w:rStyle w:val="FootnoteReference"/>
        </w:rPr>
        <w:footnoteRef/>
      </w:r>
      <w:r>
        <w:t xml:space="preserve"> </w:t>
      </w:r>
      <w:r>
        <w:tab/>
        <w:t>SWEPCO Ex. 47 at 8.</w:t>
      </w:r>
    </w:p>
  </w:footnote>
  <w:footnote w:id="298">
    <w:p w14:paraId="317C9EDF" w14:textId="77777777" w:rsidR="00BF1EC4" w:rsidRDefault="00BF1EC4" w:rsidP="007B62B2">
      <w:pPr>
        <w:pStyle w:val="FootnoteText"/>
      </w:pPr>
      <w:r>
        <w:rPr>
          <w:rStyle w:val="FootnoteReference"/>
        </w:rPr>
        <w:footnoteRef/>
      </w:r>
      <w:r>
        <w:t xml:space="preserve"> </w:t>
      </w:r>
      <w:r>
        <w:tab/>
        <w:t xml:space="preserve">SWEPCO Ex. 47 at 3-5; Tr. at 2051:13-2053:1 (Franklin Cross) (June 14, 2017); Tr. at 2082:1-2083:13 (Franklin Redirect) (June 14, 2017); </w:t>
      </w:r>
      <w:r w:rsidRPr="001D69A5">
        <w:rPr>
          <w:i/>
        </w:rPr>
        <w:t>see</w:t>
      </w:r>
      <w:r>
        <w:t xml:space="preserve"> SWEPCO’s response to TIEC 2-22, </w:t>
      </w:r>
      <w:r w:rsidRPr="003F3139">
        <w:t>SWEPCO Ex. 70</w:t>
      </w:r>
      <w:r w:rsidRPr="001D69A5">
        <w:t xml:space="preserve">, </w:t>
      </w:r>
      <w:r>
        <w:t xml:space="preserve">with </w:t>
      </w:r>
      <w:r w:rsidRPr="001D69A5">
        <w:t>the FERC account numbers in the left-hand column</w:t>
      </w:r>
      <w:r w:rsidRPr="003F3139">
        <w:t>;</w:t>
      </w:r>
      <w:r>
        <w:t xml:space="preserve"> Tr. at 1506:4-24 (Pollock Cross) (June 12 2017); </w:t>
      </w:r>
      <w:r>
        <w:rPr>
          <w:i/>
        </w:rPr>
        <w:t>see also</w:t>
      </w:r>
      <w:r>
        <w:t xml:space="preserve"> TIEC Ex. 1 at Exhibits JP-5 and JP-7, which refer to SWEPCO Ex. 70.</w:t>
      </w:r>
    </w:p>
  </w:footnote>
  <w:footnote w:id="299">
    <w:p w14:paraId="14E7A89B" w14:textId="77777777" w:rsidR="00BF1EC4" w:rsidRDefault="00BF1EC4" w:rsidP="007B62B2">
      <w:pPr>
        <w:pStyle w:val="FootnoteText"/>
      </w:pPr>
      <w:r>
        <w:rPr>
          <w:rStyle w:val="FootnoteReference"/>
        </w:rPr>
        <w:footnoteRef/>
      </w:r>
      <w:r>
        <w:t xml:space="preserve"> </w:t>
      </w:r>
      <w:r>
        <w:tab/>
      </w:r>
      <w:proofErr w:type="gramStart"/>
      <w:r>
        <w:t>TIEC Exceptions at 17.</w:t>
      </w:r>
      <w:proofErr w:type="gramEnd"/>
    </w:p>
  </w:footnote>
  <w:footnote w:id="300">
    <w:p w14:paraId="163C02C0" w14:textId="77777777" w:rsidR="00BF1EC4" w:rsidRDefault="00BF1EC4" w:rsidP="00B00B7F">
      <w:pPr>
        <w:pStyle w:val="FootnoteText"/>
      </w:pPr>
      <w:r>
        <w:rPr>
          <w:rStyle w:val="FootnoteReference"/>
        </w:rPr>
        <w:footnoteRef/>
      </w:r>
      <w:r>
        <w:t xml:space="preserve"> </w:t>
      </w:r>
      <w:r>
        <w:tab/>
      </w:r>
      <w:proofErr w:type="gramStart"/>
      <w:r>
        <w:t>CARD Exceptions to PFD at 21.</w:t>
      </w:r>
      <w:proofErr w:type="gramEnd"/>
    </w:p>
  </w:footnote>
  <w:footnote w:id="301">
    <w:p w14:paraId="17423B52" w14:textId="77777777" w:rsidR="00BF1EC4" w:rsidRDefault="00BF1EC4" w:rsidP="00B00B7F">
      <w:pPr>
        <w:pStyle w:val="FootnoteText"/>
      </w:pPr>
      <w:r>
        <w:rPr>
          <w:rStyle w:val="FootnoteReference"/>
        </w:rPr>
        <w:footnoteRef/>
      </w:r>
      <w:r>
        <w:t xml:space="preserve"> </w:t>
      </w:r>
      <w:r>
        <w:tab/>
        <w:t>Tr. at 913:9-914:20, 918:5-9, and 921:6-19 (Garrett Cross) (June 8, 2017).</w:t>
      </w:r>
    </w:p>
  </w:footnote>
  <w:footnote w:id="302">
    <w:p w14:paraId="62EA7BC6" w14:textId="77777777" w:rsidR="00BF1EC4" w:rsidRDefault="00BF1EC4">
      <w:pPr>
        <w:pStyle w:val="FootnoteText"/>
      </w:pPr>
      <w:r>
        <w:rPr>
          <w:rStyle w:val="FootnoteReference"/>
        </w:rPr>
        <w:footnoteRef/>
      </w:r>
      <w:r>
        <w:t xml:space="preserve"> </w:t>
      </w:r>
      <w:r>
        <w:tab/>
      </w:r>
      <w:proofErr w:type="gramStart"/>
      <w:r>
        <w:t>Exceptions to PFD at 21.</w:t>
      </w:r>
      <w:proofErr w:type="gramEnd"/>
    </w:p>
  </w:footnote>
  <w:footnote w:id="303">
    <w:p w14:paraId="589B439A" w14:textId="77777777" w:rsidR="00BF1EC4" w:rsidRDefault="00BF1EC4" w:rsidP="00B00B7F">
      <w:pPr>
        <w:pStyle w:val="FootnoteText"/>
      </w:pPr>
      <w:r>
        <w:rPr>
          <w:rStyle w:val="FootnoteReference"/>
        </w:rPr>
        <w:footnoteRef/>
      </w:r>
      <w:r>
        <w:t xml:space="preserve"> </w:t>
      </w:r>
      <w:r>
        <w:tab/>
        <w:t>SWEPCO Ex. 58 at 6-7.</w:t>
      </w:r>
    </w:p>
  </w:footnote>
  <w:footnote w:id="304">
    <w:p w14:paraId="577D61A1" w14:textId="77777777" w:rsidR="00BF1EC4" w:rsidRDefault="00BF1EC4" w:rsidP="00B00B7F">
      <w:pPr>
        <w:pStyle w:val="FootnoteText"/>
      </w:pPr>
      <w:r>
        <w:rPr>
          <w:rStyle w:val="FootnoteReference"/>
        </w:rPr>
        <w:footnoteRef/>
      </w:r>
      <w:r>
        <w:t xml:space="preserve"> </w:t>
      </w:r>
      <w:r>
        <w:tab/>
        <w:t>SWEPCO Ex. 58 at 6-7.</w:t>
      </w:r>
    </w:p>
  </w:footnote>
  <w:footnote w:id="305">
    <w:p w14:paraId="001752E8" w14:textId="77777777" w:rsidR="00BF1EC4" w:rsidRDefault="00BF1EC4" w:rsidP="00B00B7F">
      <w:pPr>
        <w:pStyle w:val="FootnoteText"/>
      </w:pPr>
      <w:r w:rsidRPr="001B1641">
        <w:rPr>
          <w:rStyle w:val="FootnoteReference"/>
        </w:rPr>
        <w:footnoteRef/>
      </w:r>
      <w:r w:rsidRPr="001B1641">
        <w:t xml:space="preserve"> </w:t>
      </w:r>
      <w:r w:rsidRPr="001B1641">
        <w:tab/>
        <w:t>SWEPCO Ex. 58 at 9-10; Tr. 918:17-922:19 (Garrett Cross) (June 8, 2017).</w:t>
      </w:r>
    </w:p>
  </w:footnote>
  <w:footnote w:id="306">
    <w:p w14:paraId="19D43399" w14:textId="77777777" w:rsidR="00BF1EC4" w:rsidRDefault="00BF1EC4" w:rsidP="00B00B7F">
      <w:pPr>
        <w:pStyle w:val="FootnoteText"/>
      </w:pPr>
      <w:r>
        <w:rPr>
          <w:rStyle w:val="FootnoteReference"/>
        </w:rPr>
        <w:footnoteRef/>
      </w:r>
      <w:r>
        <w:t xml:space="preserve"> </w:t>
      </w:r>
      <w:r>
        <w:tab/>
        <w:t>SWEPCO Ex. 58 at 12-13.</w:t>
      </w:r>
    </w:p>
  </w:footnote>
  <w:footnote w:id="307">
    <w:p w14:paraId="7CCC3997" w14:textId="77777777" w:rsidR="00BF1EC4" w:rsidRDefault="00BF1EC4" w:rsidP="00B00B7F">
      <w:pPr>
        <w:pStyle w:val="FootnoteText"/>
      </w:pPr>
      <w:r>
        <w:rPr>
          <w:rStyle w:val="FootnoteReference"/>
        </w:rPr>
        <w:footnoteRef/>
      </w:r>
      <w:r>
        <w:t xml:space="preserve"> </w:t>
      </w:r>
      <w:r>
        <w:tab/>
        <w:t>Direct Testimony of David Garrett, CARD Ex. 1 at 25.</w:t>
      </w:r>
    </w:p>
  </w:footnote>
  <w:footnote w:id="308">
    <w:p w14:paraId="41CA4884" w14:textId="77777777" w:rsidR="00BF1EC4" w:rsidRDefault="00BF1EC4" w:rsidP="00B00B7F">
      <w:pPr>
        <w:pStyle w:val="FootnoteText"/>
      </w:pPr>
      <w:r>
        <w:rPr>
          <w:rStyle w:val="FootnoteReference"/>
        </w:rPr>
        <w:footnoteRef/>
      </w:r>
      <w:r>
        <w:t xml:space="preserve"> </w:t>
      </w:r>
      <w:r>
        <w:tab/>
        <w:t>Tr. at 916:5-22 (Garrett Cross) (June 8, 2017).</w:t>
      </w:r>
    </w:p>
  </w:footnote>
  <w:footnote w:id="309">
    <w:p w14:paraId="084CBE8E" w14:textId="77777777" w:rsidR="00BF1EC4" w:rsidRDefault="00BF1EC4" w:rsidP="00B00B7F">
      <w:pPr>
        <w:pStyle w:val="FootnoteText"/>
      </w:pPr>
      <w:r>
        <w:rPr>
          <w:rStyle w:val="FootnoteReference"/>
        </w:rPr>
        <w:footnoteRef/>
      </w:r>
      <w:r>
        <w:t xml:space="preserve"> </w:t>
      </w:r>
      <w:r>
        <w:tab/>
      </w:r>
      <w:proofErr w:type="gramStart"/>
      <w:r>
        <w:t>CARD Exceptions at 21.</w:t>
      </w:r>
      <w:proofErr w:type="gramEnd"/>
    </w:p>
  </w:footnote>
  <w:footnote w:id="310">
    <w:p w14:paraId="033715D2" w14:textId="77777777" w:rsidR="00BF1EC4" w:rsidRDefault="00BF1EC4" w:rsidP="00B00B7F">
      <w:pPr>
        <w:pStyle w:val="FootnoteText"/>
      </w:pPr>
      <w:r>
        <w:rPr>
          <w:rStyle w:val="FootnoteReference"/>
        </w:rPr>
        <w:footnoteRef/>
      </w:r>
      <w:r>
        <w:t xml:space="preserve"> </w:t>
      </w:r>
      <w:r>
        <w:tab/>
        <w:t xml:space="preserve">SWEPCO Ex. 58 at 12-13.  </w:t>
      </w:r>
      <w:r>
        <w:rPr>
          <w:szCs w:val="24"/>
        </w:rPr>
        <w:t xml:space="preserve">That is why CARD Ex. 148, a discovery response explaining the adjustment, contains the information it does.  </w:t>
      </w:r>
    </w:p>
  </w:footnote>
  <w:footnote w:id="311">
    <w:p w14:paraId="734CD0A9" w14:textId="77777777" w:rsidR="00BF1EC4" w:rsidRDefault="00BF1EC4" w:rsidP="00B00B7F">
      <w:pPr>
        <w:pStyle w:val="FootnoteText"/>
      </w:pPr>
      <w:r>
        <w:rPr>
          <w:rStyle w:val="FootnoteReference"/>
        </w:rPr>
        <w:footnoteRef/>
      </w:r>
      <w:r>
        <w:t xml:space="preserve"> </w:t>
      </w:r>
      <w:r>
        <w:tab/>
        <w:t>SWEPCO Ex. 58 at 12-13.</w:t>
      </w:r>
    </w:p>
  </w:footnote>
  <w:footnote w:id="312">
    <w:p w14:paraId="64EDC627" w14:textId="77777777" w:rsidR="00BF1EC4" w:rsidRDefault="00BF1EC4" w:rsidP="00B00B7F">
      <w:pPr>
        <w:pStyle w:val="FootnoteText"/>
      </w:pPr>
      <w:r>
        <w:rPr>
          <w:rStyle w:val="FootnoteReference"/>
        </w:rPr>
        <w:footnoteRef/>
      </w:r>
      <w:r>
        <w:t xml:space="preserve"> </w:t>
      </w:r>
      <w:r>
        <w:tab/>
        <w:t>Direct Testimony of David A. Davis, SWEPCO Ex. 27 at Exhibit DAD-2.</w:t>
      </w:r>
    </w:p>
  </w:footnote>
  <w:footnote w:id="313">
    <w:p w14:paraId="10D7A003" w14:textId="77777777" w:rsidR="00BF1EC4" w:rsidRDefault="00BF1EC4" w:rsidP="00B00B7F">
      <w:pPr>
        <w:pStyle w:val="FootnoteText"/>
      </w:pPr>
      <w:r>
        <w:rPr>
          <w:rStyle w:val="FootnoteReference"/>
        </w:rPr>
        <w:footnoteRef/>
      </w:r>
      <w:r>
        <w:t xml:space="preserve"> </w:t>
      </w:r>
      <w:r>
        <w:tab/>
        <w:t>CARD Exceptions at 22-28.</w:t>
      </w:r>
    </w:p>
  </w:footnote>
  <w:footnote w:id="314">
    <w:p w14:paraId="3B223E66" w14:textId="77777777" w:rsidR="00BF1EC4" w:rsidRDefault="00BF1EC4" w:rsidP="00B00B7F">
      <w:pPr>
        <w:pStyle w:val="FootnoteText"/>
      </w:pPr>
      <w:r>
        <w:rPr>
          <w:rStyle w:val="FootnoteReference"/>
        </w:rPr>
        <w:footnoteRef/>
      </w:r>
      <w:r>
        <w:t xml:space="preserve"> </w:t>
      </w:r>
      <w:r>
        <w:tab/>
        <w:t>Direct Testimony of Thomas J. Meehan, SWEPCO Ex. 26 at Exhibit TJM-2.</w:t>
      </w:r>
    </w:p>
  </w:footnote>
  <w:footnote w:id="315">
    <w:p w14:paraId="2BC0A872" w14:textId="77777777" w:rsidR="00BF1EC4" w:rsidRDefault="00BF1EC4">
      <w:pPr>
        <w:pStyle w:val="FootnoteText"/>
      </w:pPr>
      <w:r>
        <w:rPr>
          <w:rStyle w:val="FootnoteReference"/>
        </w:rPr>
        <w:footnoteRef/>
      </w:r>
      <w:r>
        <w:t xml:space="preserve"> </w:t>
      </w:r>
      <w:r>
        <w:tab/>
        <w:t>SWEPCO Ex. 58 at 15.</w:t>
      </w:r>
    </w:p>
  </w:footnote>
  <w:footnote w:id="316">
    <w:p w14:paraId="190AEBA4" w14:textId="77777777" w:rsidR="00BF1EC4" w:rsidRDefault="00BF1EC4">
      <w:pPr>
        <w:pStyle w:val="FootnoteText"/>
      </w:pPr>
      <w:r>
        <w:rPr>
          <w:rStyle w:val="FootnoteReference"/>
        </w:rPr>
        <w:footnoteRef/>
      </w:r>
      <w:r>
        <w:t xml:space="preserve"> </w:t>
      </w:r>
      <w:r>
        <w:tab/>
        <w:t>SWEPCO Ex. 58 at 17.</w:t>
      </w:r>
    </w:p>
  </w:footnote>
  <w:footnote w:id="317">
    <w:p w14:paraId="52FEBE54" w14:textId="77777777" w:rsidR="00BF1EC4" w:rsidRDefault="00BF1EC4">
      <w:pPr>
        <w:pStyle w:val="FootnoteText"/>
      </w:pPr>
      <w:r>
        <w:rPr>
          <w:rStyle w:val="FootnoteReference"/>
        </w:rPr>
        <w:footnoteRef/>
      </w:r>
      <w:r>
        <w:t xml:space="preserve"> </w:t>
      </w:r>
      <w:r>
        <w:tab/>
      </w:r>
      <w:proofErr w:type="gramStart"/>
      <w:r>
        <w:t>SWEPCO Ex. 27 at 18 and Exhibit DAD-2.</w:t>
      </w:r>
      <w:proofErr w:type="gramEnd"/>
    </w:p>
  </w:footnote>
  <w:footnote w:id="318">
    <w:p w14:paraId="11D88EDC" w14:textId="77777777" w:rsidR="00BF1EC4" w:rsidRDefault="00BF1EC4">
      <w:pPr>
        <w:pStyle w:val="FootnoteText"/>
      </w:pPr>
      <w:r>
        <w:rPr>
          <w:rStyle w:val="FootnoteReference"/>
        </w:rPr>
        <w:footnoteRef/>
      </w:r>
      <w:r>
        <w:t xml:space="preserve"> </w:t>
      </w:r>
      <w:r>
        <w:tab/>
        <w:t>SWEPCO Ex. 58 at 17-18.</w:t>
      </w:r>
    </w:p>
  </w:footnote>
  <w:footnote w:id="319">
    <w:p w14:paraId="3BED4871" w14:textId="77777777" w:rsidR="00BF1EC4" w:rsidRDefault="00BF1EC4">
      <w:pPr>
        <w:pStyle w:val="FootnoteText"/>
      </w:pPr>
      <w:r>
        <w:rPr>
          <w:rStyle w:val="FootnoteReference"/>
        </w:rPr>
        <w:footnoteRef/>
      </w:r>
      <w:r>
        <w:t xml:space="preserve"> </w:t>
      </w:r>
      <w:r>
        <w:tab/>
        <w:t>Docket No. 40443, Final Order at FoF 193 (Oct. 10, 2013).</w:t>
      </w:r>
    </w:p>
  </w:footnote>
  <w:footnote w:id="320">
    <w:p w14:paraId="1900EB93" w14:textId="77777777" w:rsidR="00BF1EC4" w:rsidRDefault="00BF1EC4" w:rsidP="00B00B7F">
      <w:pPr>
        <w:pStyle w:val="FootnoteText"/>
      </w:pPr>
      <w:r>
        <w:rPr>
          <w:rStyle w:val="FootnoteReference"/>
        </w:rPr>
        <w:footnoteRef/>
      </w:r>
      <w:r>
        <w:t xml:space="preserve"> </w:t>
      </w:r>
      <w:r>
        <w:tab/>
      </w:r>
      <w:r w:rsidRPr="009F3311">
        <w:t>SWEPCO Ex. 58 at 19.</w:t>
      </w:r>
    </w:p>
  </w:footnote>
  <w:footnote w:id="321">
    <w:p w14:paraId="535A15AE" w14:textId="77777777" w:rsidR="00BF1EC4" w:rsidRDefault="00BF1EC4" w:rsidP="00B00B7F">
      <w:pPr>
        <w:pStyle w:val="FootnoteText"/>
      </w:pPr>
      <w:r>
        <w:rPr>
          <w:rStyle w:val="FootnoteReference"/>
        </w:rPr>
        <w:footnoteRef/>
      </w:r>
      <w:r>
        <w:t xml:space="preserve"> </w:t>
      </w:r>
      <w:r>
        <w:tab/>
      </w:r>
      <w:r w:rsidRPr="005271AB">
        <w:t>SWEPCO Ex. 58 at 19.</w:t>
      </w:r>
    </w:p>
  </w:footnote>
  <w:footnote w:id="322">
    <w:p w14:paraId="41FEA5A7" w14:textId="77777777" w:rsidR="00BF1EC4" w:rsidRDefault="00BF1EC4" w:rsidP="00B00B7F">
      <w:pPr>
        <w:pStyle w:val="FootnoteText"/>
      </w:pPr>
      <w:r>
        <w:rPr>
          <w:rStyle w:val="FootnoteReference"/>
        </w:rPr>
        <w:footnoteRef/>
      </w:r>
      <w:r>
        <w:t xml:space="preserve"> </w:t>
      </w:r>
      <w:r>
        <w:tab/>
      </w:r>
      <w:r w:rsidRPr="00D407DD">
        <w:t>SWEPCO Ex. 58 at 19-20.</w:t>
      </w:r>
    </w:p>
  </w:footnote>
  <w:footnote w:id="323">
    <w:p w14:paraId="6125D1A8" w14:textId="77777777" w:rsidR="00BF1EC4" w:rsidRDefault="00BF1EC4" w:rsidP="00B00B7F">
      <w:pPr>
        <w:pStyle w:val="FootnoteText"/>
      </w:pPr>
      <w:r>
        <w:rPr>
          <w:rStyle w:val="FootnoteReference"/>
        </w:rPr>
        <w:footnoteRef/>
      </w:r>
      <w:r>
        <w:t xml:space="preserve"> </w:t>
      </w:r>
      <w:r>
        <w:tab/>
      </w:r>
      <w:proofErr w:type="gramStart"/>
      <w:r w:rsidRPr="00763C33">
        <w:t>Rebuttal Testimony of Thomas Meehan, SWEPCO Ex. 57 at 4.</w:t>
      </w:r>
      <w:proofErr w:type="gramEnd"/>
    </w:p>
  </w:footnote>
  <w:footnote w:id="324">
    <w:p w14:paraId="02E8F9A5" w14:textId="77777777" w:rsidR="00BF1EC4" w:rsidRDefault="00BF1EC4" w:rsidP="00B00B7F">
      <w:pPr>
        <w:pStyle w:val="FootnoteText"/>
      </w:pPr>
      <w:r>
        <w:rPr>
          <w:rStyle w:val="FootnoteReference"/>
        </w:rPr>
        <w:footnoteRef/>
      </w:r>
      <w:r>
        <w:t xml:space="preserve"> </w:t>
      </w:r>
      <w:r>
        <w:tab/>
      </w:r>
      <w:r w:rsidRPr="009D5822">
        <w:t>SWEPCO Ex. 57 at 4.</w:t>
      </w:r>
    </w:p>
  </w:footnote>
  <w:footnote w:id="325">
    <w:p w14:paraId="3EBDD9BA" w14:textId="77777777" w:rsidR="00BF1EC4" w:rsidRDefault="00BF1EC4" w:rsidP="00B00B7F">
      <w:pPr>
        <w:pStyle w:val="FootnoteText"/>
      </w:pPr>
      <w:r>
        <w:rPr>
          <w:rStyle w:val="FootnoteReference"/>
        </w:rPr>
        <w:footnoteRef/>
      </w:r>
      <w:r>
        <w:t xml:space="preserve"> </w:t>
      </w:r>
      <w:r>
        <w:tab/>
        <w:t>ETEC Exceptions at 7-10.</w:t>
      </w:r>
    </w:p>
  </w:footnote>
  <w:footnote w:id="326">
    <w:p w14:paraId="1456838D" w14:textId="77777777" w:rsidR="00BF1EC4" w:rsidRDefault="00BF1EC4" w:rsidP="00B00B7F">
      <w:pPr>
        <w:pStyle w:val="FootnoteText"/>
      </w:pPr>
      <w:r>
        <w:rPr>
          <w:rStyle w:val="FootnoteReference"/>
        </w:rPr>
        <w:footnoteRef/>
      </w:r>
      <w:r>
        <w:t xml:space="preserve"> </w:t>
      </w:r>
      <w:r>
        <w:tab/>
        <w:t>Direct Testimony of E. Cary Cook, ETEC Ex. 1 at 13-16.</w:t>
      </w:r>
    </w:p>
  </w:footnote>
  <w:footnote w:id="327">
    <w:p w14:paraId="56016D92" w14:textId="77777777" w:rsidR="00BF1EC4" w:rsidRDefault="00BF1EC4">
      <w:pPr>
        <w:pStyle w:val="FootnoteText"/>
      </w:pPr>
      <w:r>
        <w:rPr>
          <w:rStyle w:val="FootnoteReference"/>
        </w:rPr>
        <w:footnoteRef/>
      </w:r>
      <w:r>
        <w:t xml:space="preserve"> </w:t>
      </w:r>
      <w:r>
        <w:tab/>
        <w:t>SWEPCO Ex. 57 at 9.</w:t>
      </w:r>
    </w:p>
  </w:footnote>
  <w:footnote w:id="328">
    <w:p w14:paraId="0FD56078" w14:textId="77777777" w:rsidR="00BF1EC4" w:rsidRDefault="00BF1EC4" w:rsidP="00B00B7F">
      <w:pPr>
        <w:pStyle w:val="FootnoteText"/>
      </w:pPr>
      <w:r>
        <w:rPr>
          <w:rStyle w:val="FootnoteReference"/>
        </w:rPr>
        <w:footnoteRef/>
      </w:r>
      <w:r>
        <w:t xml:space="preserve"> </w:t>
      </w:r>
      <w:r>
        <w:tab/>
      </w:r>
      <w:proofErr w:type="gramStart"/>
      <w:r>
        <w:t>CARD Exceptions at 25; ETEC Exceptions at 10.</w:t>
      </w:r>
      <w:proofErr w:type="gramEnd"/>
    </w:p>
  </w:footnote>
  <w:footnote w:id="329">
    <w:p w14:paraId="07E29AB0" w14:textId="77777777" w:rsidR="00BF1EC4" w:rsidRDefault="00BF1EC4" w:rsidP="00B00B7F">
      <w:pPr>
        <w:pStyle w:val="FootnoteText"/>
      </w:pPr>
      <w:r>
        <w:rPr>
          <w:rStyle w:val="FootnoteReference"/>
        </w:rPr>
        <w:footnoteRef/>
      </w:r>
      <w:r>
        <w:t xml:space="preserve"> </w:t>
      </w:r>
      <w:r>
        <w:tab/>
        <w:t>ETEC Exceptions at 10-11.</w:t>
      </w:r>
    </w:p>
  </w:footnote>
  <w:footnote w:id="330">
    <w:p w14:paraId="1B55032B" w14:textId="77777777" w:rsidR="00BF1EC4" w:rsidRDefault="00BF1EC4" w:rsidP="00B00B7F">
      <w:pPr>
        <w:pStyle w:val="FootnoteText"/>
      </w:pPr>
      <w:r>
        <w:rPr>
          <w:rStyle w:val="FootnoteReference"/>
        </w:rPr>
        <w:footnoteRef/>
      </w:r>
      <w:r>
        <w:t xml:space="preserve"> </w:t>
      </w:r>
      <w:r>
        <w:tab/>
        <w:t>SWEPCO Ex. 57 at 7.</w:t>
      </w:r>
    </w:p>
  </w:footnote>
  <w:footnote w:id="331">
    <w:p w14:paraId="27674910" w14:textId="77777777" w:rsidR="00BF1EC4" w:rsidRDefault="00BF1EC4" w:rsidP="00B00B7F">
      <w:pPr>
        <w:pStyle w:val="FootnoteText"/>
      </w:pPr>
      <w:r>
        <w:rPr>
          <w:rStyle w:val="FootnoteReference"/>
        </w:rPr>
        <w:footnoteRef/>
      </w:r>
      <w:r>
        <w:t xml:space="preserve"> </w:t>
      </w:r>
      <w:r>
        <w:tab/>
        <w:t>SWEPCO Ex. 57 at 6.</w:t>
      </w:r>
    </w:p>
  </w:footnote>
  <w:footnote w:id="332">
    <w:p w14:paraId="406AA661" w14:textId="77777777" w:rsidR="00BF1EC4" w:rsidRDefault="00BF1EC4" w:rsidP="00B00B7F">
      <w:pPr>
        <w:pStyle w:val="FootnoteText"/>
      </w:pPr>
      <w:r>
        <w:rPr>
          <w:rStyle w:val="FootnoteReference"/>
        </w:rPr>
        <w:footnoteRef/>
      </w:r>
      <w:r>
        <w:t xml:space="preserve"> </w:t>
      </w:r>
      <w:r>
        <w:tab/>
        <w:t>SWEPCO Ex. 57 at 6.</w:t>
      </w:r>
    </w:p>
  </w:footnote>
  <w:footnote w:id="333">
    <w:p w14:paraId="567DC096" w14:textId="77777777" w:rsidR="00BF1EC4" w:rsidRDefault="00BF1EC4" w:rsidP="00B00B7F">
      <w:pPr>
        <w:pStyle w:val="FootnoteText"/>
      </w:pPr>
      <w:r>
        <w:rPr>
          <w:rStyle w:val="FootnoteReference"/>
        </w:rPr>
        <w:footnoteRef/>
      </w:r>
      <w:r>
        <w:t xml:space="preserve"> </w:t>
      </w:r>
      <w:r>
        <w:tab/>
        <w:t>SWEPCO Ex. 57 at 7.</w:t>
      </w:r>
    </w:p>
  </w:footnote>
  <w:footnote w:id="334">
    <w:p w14:paraId="3152232B" w14:textId="77777777" w:rsidR="00BF1EC4" w:rsidRDefault="00BF1EC4" w:rsidP="00B00B7F">
      <w:pPr>
        <w:pStyle w:val="FootnoteText"/>
      </w:pPr>
      <w:r>
        <w:rPr>
          <w:rStyle w:val="FootnoteReference"/>
        </w:rPr>
        <w:footnoteRef/>
      </w:r>
      <w:r>
        <w:t xml:space="preserve"> </w:t>
      </w:r>
      <w:r>
        <w:tab/>
        <w:t>ETEC Ex. 1 at 12.</w:t>
      </w:r>
    </w:p>
  </w:footnote>
  <w:footnote w:id="335">
    <w:p w14:paraId="371BF8F2" w14:textId="77777777" w:rsidR="00BF1EC4" w:rsidRDefault="00BF1EC4" w:rsidP="00B00B7F">
      <w:pPr>
        <w:pStyle w:val="FootnoteText"/>
      </w:pPr>
      <w:r>
        <w:rPr>
          <w:rStyle w:val="FootnoteReference"/>
        </w:rPr>
        <w:footnoteRef/>
      </w:r>
      <w:r>
        <w:t xml:space="preserve"> </w:t>
      </w:r>
      <w:r>
        <w:tab/>
        <w:t>SWEPCO Ex. 57 at 8.</w:t>
      </w:r>
    </w:p>
  </w:footnote>
  <w:footnote w:id="336">
    <w:p w14:paraId="472A2AF7" w14:textId="77777777" w:rsidR="00BF1EC4" w:rsidRDefault="00BF1EC4" w:rsidP="00B00B7F">
      <w:pPr>
        <w:pStyle w:val="FootnoteText"/>
      </w:pPr>
      <w:r>
        <w:rPr>
          <w:rStyle w:val="FootnoteReference"/>
        </w:rPr>
        <w:footnoteRef/>
      </w:r>
      <w:r>
        <w:t xml:space="preserve"> </w:t>
      </w:r>
      <w:r>
        <w:tab/>
        <w:t>Docket No. 40443, Final Order at FoF 193 (Oct. 10, 2013).</w:t>
      </w:r>
    </w:p>
  </w:footnote>
  <w:footnote w:id="337">
    <w:p w14:paraId="37BF1169" w14:textId="77777777" w:rsidR="00BF1EC4" w:rsidRDefault="00BF1EC4" w:rsidP="00B00B7F">
      <w:pPr>
        <w:pStyle w:val="FootnoteText"/>
      </w:pPr>
      <w:r>
        <w:rPr>
          <w:rStyle w:val="FootnoteReference"/>
        </w:rPr>
        <w:footnoteRef/>
      </w:r>
      <w:r>
        <w:t xml:space="preserve"> </w:t>
      </w:r>
      <w:r>
        <w:tab/>
        <w:t>Docket No. 40443, PFD at 183 (May 20, 2013).</w:t>
      </w:r>
    </w:p>
  </w:footnote>
  <w:footnote w:id="338">
    <w:p w14:paraId="380BAE28" w14:textId="77777777" w:rsidR="00BF1EC4" w:rsidRDefault="00BF1EC4" w:rsidP="00B00B7F">
      <w:pPr>
        <w:pStyle w:val="FootnoteText"/>
      </w:pPr>
      <w:r>
        <w:rPr>
          <w:rStyle w:val="FootnoteReference"/>
        </w:rPr>
        <w:footnoteRef/>
      </w:r>
      <w:r>
        <w:t xml:space="preserve"> </w:t>
      </w:r>
      <w:r>
        <w:tab/>
      </w:r>
      <w:proofErr w:type="gramStart"/>
      <w:r>
        <w:t>CARD Exceptions at 26; ETEC Exceptions at 12.</w:t>
      </w:r>
      <w:proofErr w:type="gramEnd"/>
    </w:p>
  </w:footnote>
  <w:footnote w:id="339">
    <w:p w14:paraId="3324F32C" w14:textId="77777777" w:rsidR="00BF1EC4" w:rsidRDefault="00BF1EC4" w:rsidP="00B00B7F">
      <w:pPr>
        <w:pStyle w:val="FootnoteText"/>
      </w:pPr>
      <w:r>
        <w:rPr>
          <w:rStyle w:val="FootnoteReference"/>
        </w:rPr>
        <w:footnoteRef/>
      </w:r>
      <w:r>
        <w:t xml:space="preserve"> </w:t>
      </w:r>
      <w:r>
        <w:tab/>
      </w:r>
      <w:proofErr w:type="gramStart"/>
      <w:r>
        <w:t>Staff Exceptions at 7.</w:t>
      </w:r>
      <w:proofErr w:type="gramEnd"/>
    </w:p>
  </w:footnote>
  <w:footnote w:id="340">
    <w:p w14:paraId="2B91B321" w14:textId="77777777" w:rsidR="00BF1EC4" w:rsidRDefault="00BF1EC4" w:rsidP="00B00B7F">
      <w:pPr>
        <w:pStyle w:val="FootnoteText"/>
      </w:pPr>
      <w:r>
        <w:rPr>
          <w:rStyle w:val="FootnoteReference"/>
        </w:rPr>
        <w:footnoteRef/>
      </w:r>
      <w:r>
        <w:t xml:space="preserve"> </w:t>
      </w:r>
      <w:r>
        <w:tab/>
      </w:r>
      <w:proofErr w:type="gramStart"/>
      <w:r>
        <w:t>CARD Exceptions at 24.</w:t>
      </w:r>
      <w:proofErr w:type="gramEnd"/>
    </w:p>
  </w:footnote>
  <w:footnote w:id="341">
    <w:p w14:paraId="0F91D228" w14:textId="77777777" w:rsidR="00BF1EC4" w:rsidRDefault="00BF1EC4" w:rsidP="00B00B7F">
      <w:pPr>
        <w:pStyle w:val="FootnoteText"/>
      </w:pPr>
      <w:r>
        <w:rPr>
          <w:rStyle w:val="FootnoteReference"/>
        </w:rPr>
        <w:footnoteRef/>
      </w:r>
      <w:r>
        <w:t xml:space="preserve"> </w:t>
      </w:r>
      <w:r>
        <w:tab/>
      </w:r>
      <w:r w:rsidRPr="009D5822">
        <w:t>SWEPCO Ex. 58 at 20.</w:t>
      </w:r>
    </w:p>
  </w:footnote>
  <w:footnote w:id="342">
    <w:p w14:paraId="683801D9" w14:textId="77777777" w:rsidR="00BF1EC4" w:rsidRDefault="00BF1EC4" w:rsidP="00B00B7F">
      <w:pPr>
        <w:pStyle w:val="FootnoteText"/>
      </w:pPr>
      <w:r>
        <w:rPr>
          <w:rStyle w:val="FootnoteReference"/>
        </w:rPr>
        <w:footnoteRef/>
      </w:r>
      <w:r>
        <w:t xml:space="preserve"> </w:t>
      </w:r>
      <w:r>
        <w:tab/>
      </w:r>
      <w:r w:rsidRPr="009D5822">
        <w:t>Docket No. 40443, Final Order at FoF 193 (Oct. 10, 2013).</w:t>
      </w:r>
    </w:p>
  </w:footnote>
  <w:footnote w:id="343">
    <w:p w14:paraId="47ABE050" w14:textId="77777777" w:rsidR="00BF1EC4" w:rsidRDefault="00BF1EC4" w:rsidP="00B00B7F">
      <w:pPr>
        <w:pStyle w:val="FootnoteText"/>
      </w:pPr>
      <w:r>
        <w:rPr>
          <w:rStyle w:val="FootnoteReference"/>
        </w:rPr>
        <w:footnoteRef/>
      </w:r>
      <w:r>
        <w:t xml:space="preserve"> </w:t>
      </w:r>
      <w:r>
        <w:tab/>
      </w:r>
      <w:r w:rsidRPr="009D5822">
        <w:t>SWEPCO Ex. 58 at 21.</w:t>
      </w:r>
    </w:p>
  </w:footnote>
  <w:footnote w:id="344">
    <w:p w14:paraId="27C927EB" w14:textId="77777777" w:rsidR="00BF1EC4" w:rsidRDefault="00BF1EC4" w:rsidP="00B00B7F">
      <w:pPr>
        <w:pStyle w:val="FootnoteText"/>
      </w:pPr>
      <w:r>
        <w:rPr>
          <w:rStyle w:val="FootnoteReference"/>
        </w:rPr>
        <w:footnoteRef/>
      </w:r>
      <w:r>
        <w:t xml:space="preserve"> </w:t>
      </w:r>
      <w:r>
        <w:tab/>
      </w:r>
      <w:r w:rsidRPr="000E069B">
        <w:t>Docket No. 40443, Final Order at FoF 194 (Oct. 10, 2013).</w:t>
      </w:r>
    </w:p>
  </w:footnote>
  <w:footnote w:id="345">
    <w:p w14:paraId="6B0D2774" w14:textId="77777777" w:rsidR="00BF1EC4" w:rsidRDefault="00BF1EC4" w:rsidP="00B00B7F">
      <w:pPr>
        <w:pStyle w:val="FootnoteText"/>
      </w:pPr>
      <w:r>
        <w:rPr>
          <w:rStyle w:val="FootnoteReference"/>
        </w:rPr>
        <w:footnoteRef/>
      </w:r>
      <w:r>
        <w:t xml:space="preserve"> </w:t>
      </w:r>
      <w:r>
        <w:tab/>
      </w:r>
      <w:r w:rsidRPr="00B21BBB">
        <w:t>SWEPCO Ex. 58 at 21-22.</w:t>
      </w:r>
    </w:p>
  </w:footnote>
  <w:footnote w:id="346">
    <w:p w14:paraId="72AF791C" w14:textId="77777777" w:rsidR="00BF1EC4" w:rsidRDefault="00BF1EC4" w:rsidP="00B00B7F">
      <w:pPr>
        <w:pStyle w:val="FootnoteText"/>
      </w:pPr>
      <w:r>
        <w:rPr>
          <w:rStyle w:val="FootnoteReference"/>
        </w:rPr>
        <w:footnoteRef/>
      </w:r>
      <w:r>
        <w:t xml:space="preserve"> </w:t>
      </w:r>
      <w:r>
        <w:tab/>
      </w:r>
      <w:r w:rsidRPr="00B21BBB">
        <w:t>SWEPCO Ex. 58 at 22.</w:t>
      </w:r>
    </w:p>
  </w:footnote>
  <w:footnote w:id="347">
    <w:p w14:paraId="50C61DA2" w14:textId="77777777" w:rsidR="00BF1EC4" w:rsidRDefault="00BF1EC4" w:rsidP="00B00B7F">
      <w:pPr>
        <w:pStyle w:val="FootnoteText"/>
      </w:pPr>
      <w:r>
        <w:rPr>
          <w:rStyle w:val="FootnoteReference"/>
        </w:rPr>
        <w:footnoteRef/>
      </w:r>
      <w:r>
        <w:t xml:space="preserve"> </w:t>
      </w:r>
      <w:r>
        <w:tab/>
      </w:r>
      <w:proofErr w:type="gramStart"/>
      <w:r w:rsidRPr="00BC31A7">
        <w:t xml:space="preserve">Staff Exceptions at </w:t>
      </w:r>
      <w:r>
        <w:t>7</w:t>
      </w:r>
      <w:r w:rsidRPr="00BC31A7">
        <w:t>.</w:t>
      </w:r>
      <w:proofErr w:type="gramEnd"/>
    </w:p>
  </w:footnote>
  <w:footnote w:id="348">
    <w:p w14:paraId="5B6BB06F" w14:textId="77777777" w:rsidR="00BF1EC4" w:rsidRDefault="00BF1EC4" w:rsidP="00B00B7F">
      <w:pPr>
        <w:pStyle w:val="FootnoteText"/>
      </w:pPr>
      <w:r>
        <w:rPr>
          <w:rStyle w:val="FootnoteReference"/>
        </w:rPr>
        <w:footnoteRef/>
      </w:r>
      <w:r>
        <w:t xml:space="preserve"> </w:t>
      </w:r>
      <w:r>
        <w:tab/>
      </w:r>
      <w:r w:rsidRPr="005D3D60">
        <w:rPr>
          <w:i/>
        </w:rPr>
        <w:t>See</w:t>
      </w:r>
      <w:r w:rsidRPr="007D311A">
        <w:t xml:space="preserve"> SWEPCO Ex. 16 at 42-43.</w:t>
      </w:r>
    </w:p>
  </w:footnote>
  <w:footnote w:id="349">
    <w:p w14:paraId="4D5C7155" w14:textId="77777777" w:rsidR="00BF1EC4" w:rsidRDefault="00BF1EC4" w:rsidP="00B00B7F">
      <w:pPr>
        <w:pStyle w:val="FootnoteText"/>
      </w:pPr>
      <w:r>
        <w:rPr>
          <w:rStyle w:val="FootnoteReference"/>
        </w:rPr>
        <w:footnoteRef/>
      </w:r>
      <w:r>
        <w:t xml:space="preserve"> </w:t>
      </w:r>
      <w:r>
        <w:tab/>
      </w:r>
      <w:r w:rsidRPr="007D311A">
        <w:t>SWEPCO Ex. 58 at 24.</w:t>
      </w:r>
    </w:p>
  </w:footnote>
  <w:footnote w:id="350">
    <w:p w14:paraId="6E74B001" w14:textId="77777777" w:rsidR="00BF1EC4" w:rsidRDefault="00BF1EC4" w:rsidP="00B00B7F">
      <w:pPr>
        <w:pStyle w:val="FootnoteText"/>
      </w:pPr>
      <w:r>
        <w:rPr>
          <w:rStyle w:val="FootnoteReference"/>
        </w:rPr>
        <w:footnoteRef/>
      </w:r>
      <w:r>
        <w:t xml:space="preserve"> </w:t>
      </w:r>
      <w:r>
        <w:tab/>
      </w:r>
      <w:r w:rsidRPr="00EC4426">
        <w:t>SWEPCO Ex. 58 at 25.</w:t>
      </w:r>
    </w:p>
  </w:footnote>
  <w:footnote w:id="351">
    <w:p w14:paraId="0D91064F" w14:textId="77777777" w:rsidR="00BF1EC4" w:rsidRDefault="00BF1EC4" w:rsidP="00B00B7F">
      <w:pPr>
        <w:pStyle w:val="FootnoteText"/>
      </w:pPr>
      <w:r>
        <w:rPr>
          <w:rStyle w:val="FootnoteReference"/>
        </w:rPr>
        <w:footnoteRef/>
      </w:r>
      <w:r>
        <w:t xml:space="preserve"> </w:t>
      </w:r>
      <w:r>
        <w:tab/>
      </w:r>
      <w:r w:rsidRPr="00EC4426">
        <w:t>SWEPCO Ex. 58 at 24-25.</w:t>
      </w:r>
    </w:p>
  </w:footnote>
  <w:footnote w:id="352">
    <w:p w14:paraId="0FABC66A" w14:textId="77777777" w:rsidR="00BF1EC4" w:rsidRDefault="00BF1EC4" w:rsidP="00B00B7F">
      <w:pPr>
        <w:pStyle w:val="FootnoteText"/>
      </w:pPr>
      <w:r>
        <w:rPr>
          <w:rStyle w:val="FootnoteReference"/>
        </w:rPr>
        <w:footnoteRef/>
      </w:r>
      <w:r>
        <w:t xml:space="preserve"> </w:t>
      </w:r>
      <w:r>
        <w:tab/>
        <w:t>Mr. Davis discovered the adjustment when he reviewed Mr. Garrett’s proposed adjustment.</w:t>
      </w:r>
    </w:p>
  </w:footnote>
  <w:footnote w:id="353">
    <w:p w14:paraId="4BE78F72" w14:textId="77777777" w:rsidR="00BF1EC4" w:rsidRDefault="00BF1EC4" w:rsidP="00B00B7F">
      <w:pPr>
        <w:pStyle w:val="FootnoteText"/>
      </w:pPr>
      <w:r>
        <w:rPr>
          <w:rStyle w:val="FootnoteReference"/>
        </w:rPr>
        <w:footnoteRef/>
      </w:r>
      <w:r>
        <w:t xml:space="preserve"> </w:t>
      </w:r>
      <w:r>
        <w:tab/>
      </w:r>
      <w:proofErr w:type="gramStart"/>
      <w:r>
        <w:t>PFD at 226.</w:t>
      </w:r>
      <w:proofErr w:type="gramEnd"/>
    </w:p>
  </w:footnote>
  <w:footnote w:id="354">
    <w:p w14:paraId="0D76F86F" w14:textId="77777777" w:rsidR="00BF1EC4" w:rsidRDefault="00BF1EC4" w:rsidP="00B00B7F">
      <w:pPr>
        <w:pStyle w:val="FootnoteText"/>
      </w:pPr>
      <w:r w:rsidRPr="002F4F74">
        <w:rPr>
          <w:rStyle w:val="FootnoteReference"/>
        </w:rPr>
        <w:footnoteRef/>
      </w:r>
      <w:r w:rsidRPr="002F4F74">
        <w:t xml:space="preserve"> </w:t>
      </w:r>
      <w:r w:rsidRPr="002F4F74">
        <w:tab/>
      </w:r>
      <w:proofErr w:type="gramStart"/>
      <w:r w:rsidRPr="002F4F74">
        <w:t>CARD Exceptions at 28.</w:t>
      </w:r>
      <w:proofErr w:type="gramEnd"/>
      <w:r w:rsidRPr="002F4F74">
        <w:t xml:space="preserve">  Remarkably, CARD goes on in it Exceptions to claim that this reasoning “explains the lack of an explanation . . . in Mr. Garrett’s direct testimony and in CARD’s briefing.”  Of course, this provides no justification at all for CARD’s prior failure to explain the adjustment.</w:t>
      </w:r>
    </w:p>
  </w:footnote>
  <w:footnote w:id="355">
    <w:p w14:paraId="28258302" w14:textId="77777777" w:rsidR="00BF1EC4" w:rsidRDefault="00BF1EC4" w:rsidP="00B00B7F">
      <w:pPr>
        <w:pStyle w:val="FootnoteText"/>
      </w:pPr>
      <w:r>
        <w:rPr>
          <w:rStyle w:val="FootnoteReference"/>
        </w:rPr>
        <w:footnoteRef/>
      </w:r>
      <w:r>
        <w:t xml:space="preserve"> </w:t>
      </w:r>
      <w:r>
        <w:tab/>
        <w:t>SWEPCO Ex. 58 at 41.</w:t>
      </w:r>
    </w:p>
  </w:footnote>
  <w:footnote w:id="356">
    <w:p w14:paraId="421F9E8C" w14:textId="77777777" w:rsidR="00BF1EC4" w:rsidRDefault="00BF1EC4" w:rsidP="00B00B7F">
      <w:pPr>
        <w:pStyle w:val="FootnoteText"/>
      </w:pPr>
      <w:r>
        <w:rPr>
          <w:rStyle w:val="FootnoteReference"/>
        </w:rPr>
        <w:footnoteRef/>
      </w:r>
      <w:r>
        <w:t xml:space="preserve"> </w:t>
      </w:r>
      <w:r>
        <w:tab/>
      </w:r>
      <w:r w:rsidRPr="00A24409">
        <w:t>SWEPCO Ex. 58 at 42-43.</w:t>
      </w:r>
    </w:p>
  </w:footnote>
  <w:footnote w:id="357">
    <w:p w14:paraId="52122AE3" w14:textId="77777777" w:rsidR="00BF1EC4" w:rsidRDefault="00BF1EC4" w:rsidP="00B00B7F">
      <w:pPr>
        <w:pStyle w:val="FootnoteText"/>
      </w:pPr>
      <w:r>
        <w:rPr>
          <w:rStyle w:val="FootnoteReference"/>
        </w:rPr>
        <w:footnoteRef/>
      </w:r>
      <w:r>
        <w:t xml:space="preserve"> </w:t>
      </w:r>
      <w:r>
        <w:tab/>
      </w:r>
      <w:r w:rsidRPr="00A24409">
        <w:t>SWEPCO Ex. 58 at 44.</w:t>
      </w:r>
    </w:p>
  </w:footnote>
  <w:footnote w:id="358">
    <w:p w14:paraId="1E0431FD" w14:textId="77777777" w:rsidR="00BF1EC4" w:rsidRDefault="00BF1EC4" w:rsidP="00B00B7F">
      <w:pPr>
        <w:pStyle w:val="FootnoteText"/>
      </w:pPr>
      <w:r>
        <w:rPr>
          <w:rStyle w:val="FootnoteReference"/>
        </w:rPr>
        <w:footnoteRef/>
      </w:r>
      <w:r>
        <w:t xml:space="preserve"> </w:t>
      </w:r>
      <w:r>
        <w:tab/>
      </w:r>
      <w:r w:rsidRPr="00A24409">
        <w:t>SWEPCO Ex. 58 at 44.</w:t>
      </w:r>
    </w:p>
  </w:footnote>
  <w:footnote w:id="359">
    <w:p w14:paraId="21FE837D" w14:textId="77777777" w:rsidR="00BF1EC4" w:rsidRDefault="00BF1EC4" w:rsidP="00B00B7F">
      <w:pPr>
        <w:pStyle w:val="FootnoteText"/>
      </w:pPr>
      <w:r>
        <w:rPr>
          <w:rStyle w:val="FootnoteReference"/>
        </w:rPr>
        <w:footnoteRef/>
      </w:r>
      <w:r>
        <w:t xml:space="preserve"> </w:t>
      </w:r>
      <w:r>
        <w:tab/>
      </w:r>
      <w:r w:rsidRPr="00A24409">
        <w:t>SWEPCO Ex. 58 at 44.</w:t>
      </w:r>
    </w:p>
  </w:footnote>
  <w:footnote w:id="360">
    <w:p w14:paraId="3C071E50" w14:textId="77777777" w:rsidR="00BF1EC4" w:rsidRDefault="00BF1EC4" w:rsidP="00B00B7F">
      <w:pPr>
        <w:pStyle w:val="FootnoteText"/>
      </w:pPr>
      <w:r>
        <w:rPr>
          <w:rStyle w:val="FootnoteReference"/>
        </w:rPr>
        <w:footnoteRef/>
      </w:r>
      <w:r>
        <w:t xml:space="preserve"> </w:t>
      </w:r>
      <w:r>
        <w:tab/>
      </w:r>
      <w:r w:rsidRPr="00650CB0">
        <w:t>SWEPCO Ex. 58 at 48-49.</w:t>
      </w:r>
    </w:p>
  </w:footnote>
  <w:footnote w:id="361">
    <w:p w14:paraId="7822BCF9" w14:textId="77777777" w:rsidR="00BF1EC4" w:rsidRDefault="00BF1EC4" w:rsidP="00B00B7F">
      <w:pPr>
        <w:pStyle w:val="FootnoteText"/>
      </w:pPr>
      <w:r>
        <w:rPr>
          <w:rStyle w:val="FootnoteReference"/>
        </w:rPr>
        <w:footnoteRef/>
      </w:r>
      <w:r>
        <w:t xml:space="preserve"> </w:t>
      </w:r>
      <w:r>
        <w:tab/>
      </w:r>
      <w:proofErr w:type="gramStart"/>
      <w:r>
        <w:t>CARD Exceptions at 30.</w:t>
      </w:r>
      <w:proofErr w:type="gramEnd"/>
    </w:p>
  </w:footnote>
  <w:footnote w:id="362">
    <w:p w14:paraId="67B89B75" w14:textId="77777777" w:rsidR="00BF1EC4" w:rsidRDefault="00BF1EC4" w:rsidP="00B00B7F">
      <w:pPr>
        <w:pStyle w:val="FootnoteText"/>
      </w:pPr>
      <w:r>
        <w:rPr>
          <w:rStyle w:val="FootnoteReference"/>
        </w:rPr>
        <w:footnoteRef/>
      </w:r>
      <w:r>
        <w:t xml:space="preserve"> </w:t>
      </w:r>
      <w:r>
        <w:tab/>
      </w:r>
      <w:r w:rsidRPr="00650CB0">
        <w:t>SWEPCO Ex. 58 at 49.</w:t>
      </w:r>
    </w:p>
  </w:footnote>
  <w:footnote w:id="363">
    <w:p w14:paraId="3030D336" w14:textId="77777777" w:rsidR="00BF1EC4" w:rsidRDefault="00BF1EC4" w:rsidP="00B00B7F">
      <w:pPr>
        <w:pStyle w:val="FootnoteText"/>
      </w:pPr>
      <w:r>
        <w:rPr>
          <w:rStyle w:val="FootnoteReference"/>
        </w:rPr>
        <w:footnoteRef/>
      </w:r>
      <w:r>
        <w:t xml:space="preserve"> </w:t>
      </w:r>
      <w:r>
        <w:tab/>
      </w:r>
      <w:r w:rsidRPr="00650CB0">
        <w:t>SWEPCO Ex. 58 at 53-54.</w:t>
      </w:r>
    </w:p>
  </w:footnote>
  <w:footnote w:id="364">
    <w:p w14:paraId="5C23942F" w14:textId="77777777" w:rsidR="00BF1EC4" w:rsidRDefault="00BF1EC4" w:rsidP="00B00B7F">
      <w:pPr>
        <w:pStyle w:val="FootnoteText"/>
      </w:pPr>
      <w:r w:rsidRPr="002F4F74">
        <w:rPr>
          <w:rStyle w:val="FootnoteReference"/>
        </w:rPr>
        <w:footnoteRef/>
      </w:r>
      <w:r w:rsidRPr="002F4F74">
        <w:t xml:space="preserve"> </w:t>
      </w:r>
      <w:r w:rsidRPr="002F4F74">
        <w:tab/>
        <w:t>SWEPCO Ex. 58 at 54.</w:t>
      </w:r>
    </w:p>
  </w:footnote>
  <w:footnote w:id="365">
    <w:p w14:paraId="5BF8B98C" w14:textId="77777777" w:rsidR="00BF1EC4" w:rsidRDefault="00BF1EC4" w:rsidP="001A70CA">
      <w:pPr>
        <w:pStyle w:val="FootnoteText"/>
      </w:pPr>
      <w:r>
        <w:rPr>
          <w:rStyle w:val="FootnoteReference"/>
        </w:rPr>
        <w:footnoteRef/>
      </w:r>
      <w:r>
        <w:t xml:space="preserve"> </w:t>
      </w:r>
      <w:r>
        <w:tab/>
        <w:t>SWEPCO Ex. 52 at 44.</w:t>
      </w:r>
    </w:p>
  </w:footnote>
  <w:footnote w:id="366">
    <w:p w14:paraId="6FF30DF7" w14:textId="77777777" w:rsidR="00BF1EC4" w:rsidRPr="006B31AB" w:rsidRDefault="00BF1EC4" w:rsidP="0012148F">
      <w:pPr>
        <w:pStyle w:val="FootnoteText"/>
      </w:pPr>
      <w:r>
        <w:rPr>
          <w:rStyle w:val="FootnoteReference"/>
        </w:rPr>
        <w:footnoteRef/>
      </w:r>
      <w:r>
        <w:t xml:space="preserve"> </w:t>
      </w:r>
      <w:r>
        <w:tab/>
        <w:t>Docket No. 40443, Order on Rehearing at FoF 211 (Mar. 6, 2014).</w:t>
      </w:r>
    </w:p>
  </w:footnote>
  <w:footnote w:id="367">
    <w:p w14:paraId="5A6BC254" w14:textId="77777777" w:rsidR="00BF1EC4" w:rsidRDefault="00BF1EC4" w:rsidP="001A70CA">
      <w:pPr>
        <w:pStyle w:val="FootnoteText"/>
      </w:pPr>
      <w:r>
        <w:rPr>
          <w:rStyle w:val="FootnoteReference"/>
        </w:rPr>
        <w:footnoteRef/>
      </w:r>
      <w:r>
        <w:t xml:space="preserve"> </w:t>
      </w:r>
      <w:r>
        <w:tab/>
      </w:r>
      <w:proofErr w:type="gramStart"/>
      <w:r>
        <w:t>16 Tex. Admin.</w:t>
      </w:r>
      <w:proofErr w:type="gramEnd"/>
      <w:r>
        <w:t xml:space="preserve"> Code (TAC) § 25.231(b) (emphasis added).</w:t>
      </w:r>
    </w:p>
  </w:footnote>
  <w:footnote w:id="368">
    <w:p w14:paraId="730AE542" w14:textId="77777777" w:rsidR="00BF1EC4" w:rsidRDefault="00BF1EC4" w:rsidP="001A70CA">
      <w:pPr>
        <w:pStyle w:val="FootnoteText"/>
      </w:pPr>
      <w:r>
        <w:rPr>
          <w:rStyle w:val="FootnoteReference"/>
        </w:rPr>
        <w:footnoteRef/>
      </w:r>
      <w:r>
        <w:t xml:space="preserve"> </w:t>
      </w:r>
      <w:r>
        <w:tab/>
      </w:r>
      <w:proofErr w:type="gramStart"/>
      <w:r>
        <w:t>CARD Exceptions at 31.</w:t>
      </w:r>
      <w:proofErr w:type="gramEnd"/>
    </w:p>
  </w:footnote>
  <w:footnote w:id="369">
    <w:p w14:paraId="0409FF87" w14:textId="77777777" w:rsidR="00BF1EC4" w:rsidRDefault="00BF1EC4" w:rsidP="00B628ED">
      <w:pPr>
        <w:pStyle w:val="FootnoteText"/>
      </w:pPr>
      <w:r>
        <w:rPr>
          <w:rStyle w:val="FootnoteReference"/>
        </w:rPr>
        <w:footnoteRef/>
      </w:r>
      <w:r>
        <w:t xml:space="preserve"> </w:t>
      </w:r>
      <w:r>
        <w:tab/>
      </w:r>
      <w:proofErr w:type="gramStart"/>
      <w:r>
        <w:t>CARD Exceptions at 31, 32.</w:t>
      </w:r>
      <w:proofErr w:type="gramEnd"/>
    </w:p>
  </w:footnote>
  <w:footnote w:id="370">
    <w:p w14:paraId="0E9C9CC3" w14:textId="77777777" w:rsidR="00BF1EC4" w:rsidRDefault="00BF1EC4" w:rsidP="001A70CA">
      <w:pPr>
        <w:pStyle w:val="FootnoteText"/>
      </w:pPr>
      <w:r>
        <w:rPr>
          <w:rStyle w:val="FootnoteReference"/>
        </w:rPr>
        <w:footnoteRef/>
      </w:r>
      <w:r>
        <w:t xml:space="preserve"> </w:t>
      </w:r>
      <w:r>
        <w:tab/>
      </w:r>
      <w:proofErr w:type="gramStart"/>
      <w:r>
        <w:t>CARD Exceptions at 32.</w:t>
      </w:r>
      <w:proofErr w:type="gramEnd"/>
    </w:p>
  </w:footnote>
  <w:footnote w:id="371">
    <w:p w14:paraId="29369997" w14:textId="77777777" w:rsidR="00BF1EC4" w:rsidRDefault="00BF1EC4" w:rsidP="001A70CA">
      <w:pPr>
        <w:pStyle w:val="FootnoteText"/>
      </w:pPr>
      <w:r>
        <w:rPr>
          <w:rStyle w:val="FootnoteReference"/>
        </w:rPr>
        <w:footnoteRef/>
      </w:r>
      <w:r>
        <w:t xml:space="preserve"> </w:t>
      </w:r>
      <w:r>
        <w:tab/>
      </w:r>
      <w:proofErr w:type="gramStart"/>
      <w:r>
        <w:t>CARD Exceptions at 33.</w:t>
      </w:r>
      <w:proofErr w:type="gramEnd"/>
    </w:p>
  </w:footnote>
  <w:footnote w:id="372">
    <w:p w14:paraId="2EAF0AE7" w14:textId="77777777" w:rsidR="00BF1EC4" w:rsidRDefault="00BF1EC4" w:rsidP="001A70CA">
      <w:pPr>
        <w:pStyle w:val="FootnoteText"/>
      </w:pPr>
      <w:r>
        <w:rPr>
          <w:rStyle w:val="FootnoteReference"/>
        </w:rPr>
        <w:footnoteRef/>
      </w:r>
      <w:r>
        <w:t xml:space="preserve"> </w:t>
      </w:r>
      <w:r>
        <w:tab/>
      </w:r>
      <w:proofErr w:type="gramStart"/>
      <w:r>
        <w:t>SWEPCO Ex. 52 at 45-46 and Exhibit RWH-8R.</w:t>
      </w:r>
      <w:proofErr w:type="gramEnd"/>
    </w:p>
  </w:footnote>
  <w:footnote w:id="373">
    <w:p w14:paraId="0C41F99E" w14:textId="77777777" w:rsidR="00BF1EC4" w:rsidRDefault="00BF1EC4" w:rsidP="00B628ED">
      <w:pPr>
        <w:pStyle w:val="FootnoteText"/>
      </w:pPr>
      <w:r>
        <w:rPr>
          <w:rStyle w:val="FootnoteReference"/>
        </w:rPr>
        <w:footnoteRef/>
      </w:r>
      <w:r>
        <w:t xml:space="preserve"> </w:t>
      </w:r>
      <w:r>
        <w:tab/>
      </w:r>
      <w:proofErr w:type="gramStart"/>
      <w:r>
        <w:t>CARD Exceptions at 33.</w:t>
      </w:r>
      <w:proofErr w:type="gramEnd"/>
      <w:r>
        <w:t xml:space="preserve">  Interestingly, in a later part of its exceptions, CARD recognizes the validity of known and measurable adjustments </w:t>
      </w:r>
      <w:r w:rsidRPr="00B628ED">
        <w:t>when</w:t>
      </w:r>
      <w:r>
        <w:t xml:space="preserve"> it acknowledges that the Texas Supreme Court has recognized adjustments to a historical test year so that rates will “more accurately reflect costs that will be incurred in the future.”  </w:t>
      </w:r>
      <w:proofErr w:type="gramStart"/>
      <w:r>
        <w:t>CARD Exceptions at 40.</w:t>
      </w:r>
      <w:proofErr w:type="gramEnd"/>
    </w:p>
  </w:footnote>
  <w:footnote w:id="374">
    <w:p w14:paraId="5A11D0A1" w14:textId="77777777" w:rsidR="00BF1EC4" w:rsidRDefault="00BF1EC4" w:rsidP="001A70CA">
      <w:pPr>
        <w:pStyle w:val="FootnoteText"/>
      </w:pPr>
      <w:r>
        <w:rPr>
          <w:rStyle w:val="FootnoteReference"/>
        </w:rPr>
        <w:footnoteRef/>
      </w:r>
      <w:r>
        <w:t xml:space="preserve"> </w:t>
      </w:r>
      <w:r>
        <w:tab/>
      </w:r>
      <w:r w:rsidRPr="008F25F3">
        <w:rPr>
          <w:i/>
        </w:rPr>
        <w:t>Application of Entergy Texas, Inc. for Authority to Change Rates, Reconcile Fuel Costs, and Obtain Deferred Accounting Treatment</w:t>
      </w:r>
      <w:r>
        <w:t>, Docket No. 39896, PFD at 164-65 (Jul. 6, 2012).</w:t>
      </w:r>
    </w:p>
  </w:footnote>
  <w:footnote w:id="375">
    <w:p w14:paraId="787D8D19" w14:textId="77777777" w:rsidR="00BF1EC4" w:rsidRPr="00EB6D70" w:rsidRDefault="00BF1EC4" w:rsidP="001A70CA">
      <w:pPr>
        <w:pStyle w:val="FootnoteText"/>
      </w:pPr>
      <w:r>
        <w:rPr>
          <w:rStyle w:val="FootnoteReference"/>
        </w:rPr>
        <w:footnoteRef/>
      </w:r>
      <w:r>
        <w:t xml:space="preserve"> </w:t>
      </w:r>
      <w:r>
        <w:tab/>
      </w:r>
      <w:proofErr w:type="gramStart"/>
      <w:r>
        <w:rPr>
          <w:i/>
        </w:rPr>
        <w:t xml:space="preserve">Id. </w:t>
      </w:r>
      <w:r>
        <w:t>at 165.</w:t>
      </w:r>
      <w:proofErr w:type="gramEnd"/>
    </w:p>
  </w:footnote>
  <w:footnote w:id="376">
    <w:p w14:paraId="039AE568" w14:textId="77777777" w:rsidR="00BF1EC4" w:rsidRDefault="00BF1EC4" w:rsidP="00B00B7F">
      <w:pPr>
        <w:pStyle w:val="FootnoteText"/>
      </w:pPr>
      <w:r>
        <w:rPr>
          <w:rStyle w:val="FootnoteReference"/>
        </w:rPr>
        <w:footnoteRef/>
      </w:r>
      <w:r>
        <w:t xml:space="preserve"> </w:t>
      </w:r>
      <w:r>
        <w:tab/>
        <w:t xml:space="preserve">OPUC </w:t>
      </w:r>
      <w:r w:rsidRPr="00350489">
        <w:t>Exceptions</w:t>
      </w:r>
      <w:r>
        <w:t xml:space="preserve"> at 29-30.</w:t>
      </w:r>
    </w:p>
  </w:footnote>
  <w:footnote w:id="377">
    <w:p w14:paraId="685F7ADB" w14:textId="77777777" w:rsidR="00BF1EC4" w:rsidRDefault="00BF1EC4" w:rsidP="00B00B7F">
      <w:pPr>
        <w:pStyle w:val="FootnoteText"/>
      </w:pPr>
      <w:r>
        <w:rPr>
          <w:rStyle w:val="FootnoteReference"/>
        </w:rPr>
        <w:footnoteRef/>
      </w:r>
      <w:r>
        <w:t xml:space="preserve"> </w:t>
      </w:r>
      <w:r>
        <w:tab/>
      </w:r>
      <w:r w:rsidRPr="001D3DE0">
        <w:t xml:space="preserve">Rebuttal </w:t>
      </w:r>
      <w:r w:rsidRPr="00350489">
        <w:t>Testimony</w:t>
      </w:r>
      <w:r w:rsidRPr="001D3DE0">
        <w:t xml:space="preserve"> of Andre</w:t>
      </w:r>
      <w:r>
        <w:t xml:space="preserve">w Carlin, SWEPCO Ex. 60 at 29-30. </w:t>
      </w:r>
    </w:p>
  </w:footnote>
  <w:footnote w:id="378">
    <w:p w14:paraId="31F9069D" w14:textId="77777777" w:rsidR="00BF1EC4" w:rsidRDefault="00BF1EC4" w:rsidP="00B00B7F">
      <w:pPr>
        <w:pStyle w:val="FootnoteText"/>
      </w:pPr>
      <w:r>
        <w:rPr>
          <w:rStyle w:val="FootnoteReference"/>
        </w:rPr>
        <w:footnoteRef/>
      </w:r>
      <w:r>
        <w:t xml:space="preserve"> </w:t>
      </w:r>
      <w:r>
        <w:tab/>
        <w:t xml:space="preserve">SWEPCO Ex. 60 at 29-30. </w:t>
      </w:r>
    </w:p>
  </w:footnote>
  <w:footnote w:id="379">
    <w:p w14:paraId="397F93D2" w14:textId="77777777" w:rsidR="00BF1EC4" w:rsidRDefault="00BF1EC4" w:rsidP="00B00B7F">
      <w:pPr>
        <w:pStyle w:val="FootnoteText"/>
      </w:pPr>
      <w:r>
        <w:rPr>
          <w:rStyle w:val="FootnoteReference"/>
        </w:rPr>
        <w:footnoteRef/>
      </w:r>
      <w:r>
        <w:t xml:space="preserve"> </w:t>
      </w:r>
      <w:r>
        <w:tab/>
        <w:t xml:space="preserve">SWEPCO Ex. 60 at 29-30. </w:t>
      </w:r>
    </w:p>
  </w:footnote>
  <w:footnote w:id="380">
    <w:p w14:paraId="6E56B082" w14:textId="77777777" w:rsidR="00BF1EC4" w:rsidRDefault="00BF1EC4" w:rsidP="00B00B7F">
      <w:pPr>
        <w:pStyle w:val="FootnoteText"/>
      </w:pPr>
      <w:r>
        <w:rPr>
          <w:rStyle w:val="FootnoteReference"/>
        </w:rPr>
        <w:footnoteRef/>
      </w:r>
      <w:r>
        <w:t xml:space="preserve"> </w:t>
      </w:r>
      <w:r>
        <w:tab/>
        <w:t xml:space="preserve">SWEPCO Ex. 60 at 29-30. </w:t>
      </w:r>
    </w:p>
  </w:footnote>
  <w:footnote w:id="381">
    <w:p w14:paraId="0EBE6789" w14:textId="77777777" w:rsidR="00BF1EC4" w:rsidRDefault="00BF1EC4" w:rsidP="00B00B7F">
      <w:pPr>
        <w:pStyle w:val="FootnoteText"/>
      </w:pPr>
      <w:r>
        <w:rPr>
          <w:rStyle w:val="FootnoteReference"/>
        </w:rPr>
        <w:footnoteRef/>
      </w:r>
      <w:r>
        <w:t xml:space="preserve"> </w:t>
      </w:r>
      <w:r>
        <w:tab/>
        <w:t xml:space="preserve">CARD </w:t>
      </w:r>
      <w:r w:rsidRPr="00DB21BC">
        <w:t>Exceptions</w:t>
      </w:r>
      <w:r>
        <w:t xml:space="preserve"> at 34-37; OPUC Exceptions at 33-38. </w:t>
      </w:r>
    </w:p>
  </w:footnote>
  <w:footnote w:id="382">
    <w:p w14:paraId="3996B36F" w14:textId="77777777" w:rsidR="00BF1EC4" w:rsidRPr="00127039" w:rsidRDefault="00BF1EC4" w:rsidP="00B00B7F">
      <w:pPr>
        <w:pStyle w:val="FootnoteText"/>
      </w:pPr>
      <w:r w:rsidRPr="00127039">
        <w:rPr>
          <w:rStyle w:val="FootnoteReference"/>
        </w:rPr>
        <w:footnoteRef/>
      </w:r>
      <w:r w:rsidRPr="00127039">
        <w:t xml:space="preserve">  </w:t>
      </w:r>
      <w:r>
        <w:tab/>
        <w:t xml:space="preserve">PFD at 245; </w:t>
      </w:r>
      <w:r w:rsidRPr="00127039">
        <w:t>Docket No. 40443</w:t>
      </w:r>
      <w:r>
        <w:t>,</w:t>
      </w:r>
      <w:r w:rsidRPr="00127039">
        <w:t xml:space="preserve"> PFD at 84.</w:t>
      </w:r>
    </w:p>
  </w:footnote>
  <w:footnote w:id="383">
    <w:p w14:paraId="656E79CC" w14:textId="77777777" w:rsidR="00BF1EC4" w:rsidRDefault="00BF1EC4" w:rsidP="00B00B7F">
      <w:pPr>
        <w:pStyle w:val="FootnoteText"/>
      </w:pPr>
      <w:r>
        <w:rPr>
          <w:rStyle w:val="FootnoteReference"/>
        </w:rPr>
        <w:footnoteRef/>
      </w:r>
      <w:r>
        <w:t xml:space="preserve"> </w:t>
      </w:r>
      <w:r>
        <w:tab/>
        <w:t xml:space="preserve">CARD </w:t>
      </w:r>
      <w:r w:rsidRPr="00DB21BC">
        <w:t>Exceptions</w:t>
      </w:r>
      <w:r>
        <w:t xml:space="preserve"> at 37; OPUC Exceptions at 33-34.</w:t>
      </w:r>
    </w:p>
  </w:footnote>
  <w:footnote w:id="384">
    <w:p w14:paraId="5A436418" w14:textId="77777777" w:rsidR="00BF1EC4" w:rsidRDefault="00BF1EC4" w:rsidP="00B00B7F">
      <w:pPr>
        <w:pStyle w:val="FootnoteText"/>
      </w:pPr>
      <w:r>
        <w:rPr>
          <w:rStyle w:val="FootnoteReference"/>
        </w:rPr>
        <w:footnoteRef/>
      </w:r>
      <w:r>
        <w:t xml:space="preserve"> </w:t>
      </w:r>
      <w:r>
        <w:tab/>
      </w:r>
      <w:proofErr w:type="gramStart"/>
      <w:r>
        <w:t xml:space="preserve">CARD </w:t>
      </w:r>
      <w:r w:rsidRPr="00DB21BC">
        <w:t>Exceptions</w:t>
      </w:r>
      <w:r>
        <w:t xml:space="preserve"> at 37.</w:t>
      </w:r>
      <w:proofErr w:type="gramEnd"/>
    </w:p>
  </w:footnote>
  <w:footnote w:id="385">
    <w:p w14:paraId="6663D684" w14:textId="77777777" w:rsidR="00BF1EC4" w:rsidRDefault="00BF1EC4" w:rsidP="00B00B7F">
      <w:pPr>
        <w:pStyle w:val="FootnoteText"/>
      </w:pPr>
      <w:r>
        <w:rPr>
          <w:rStyle w:val="FootnoteReference"/>
        </w:rPr>
        <w:footnoteRef/>
      </w:r>
      <w:r>
        <w:t xml:space="preserve"> </w:t>
      </w:r>
      <w:r>
        <w:tab/>
      </w:r>
      <w:proofErr w:type="gramStart"/>
      <w:r>
        <w:t xml:space="preserve">OPUC </w:t>
      </w:r>
      <w:r w:rsidRPr="00DB21BC">
        <w:t>Exceptions</w:t>
      </w:r>
      <w:r>
        <w:t xml:space="preserve"> at 37.</w:t>
      </w:r>
      <w:proofErr w:type="gramEnd"/>
      <w:r>
        <w:t xml:space="preserve"> </w:t>
      </w:r>
    </w:p>
  </w:footnote>
  <w:footnote w:id="386">
    <w:p w14:paraId="1F297214" w14:textId="77777777" w:rsidR="00BF1EC4" w:rsidRDefault="00BF1EC4" w:rsidP="00B00B7F">
      <w:pPr>
        <w:pStyle w:val="FootnoteText"/>
      </w:pPr>
      <w:r>
        <w:rPr>
          <w:rStyle w:val="FootnoteReference"/>
        </w:rPr>
        <w:footnoteRef/>
      </w:r>
      <w:r>
        <w:t xml:space="preserve"> </w:t>
      </w:r>
      <w:r>
        <w:tab/>
      </w:r>
      <w:r w:rsidRPr="00930A69">
        <w:t>SWEPCO</w:t>
      </w:r>
      <w:r>
        <w:t xml:space="preserve"> Ex. 60 at 31-33. </w:t>
      </w:r>
    </w:p>
  </w:footnote>
  <w:footnote w:id="387">
    <w:p w14:paraId="140A20DE" w14:textId="77777777" w:rsidR="00BF1EC4" w:rsidRDefault="00BF1EC4" w:rsidP="00B00B7F">
      <w:pPr>
        <w:pStyle w:val="FootnoteText"/>
      </w:pPr>
      <w:r>
        <w:rPr>
          <w:rStyle w:val="FootnoteReference"/>
        </w:rPr>
        <w:footnoteRef/>
      </w:r>
      <w:r>
        <w:t xml:space="preserve"> </w:t>
      </w:r>
      <w:r>
        <w:tab/>
      </w:r>
      <w:r w:rsidRPr="00930A69">
        <w:t>SWEPCO</w:t>
      </w:r>
      <w:r>
        <w:t xml:space="preserve"> Ex. 60 at 35. </w:t>
      </w:r>
    </w:p>
  </w:footnote>
  <w:footnote w:id="388">
    <w:p w14:paraId="639B8F95" w14:textId="77777777" w:rsidR="00BF1EC4" w:rsidRDefault="00BF1EC4" w:rsidP="00B00B7F">
      <w:pPr>
        <w:pStyle w:val="FootnoteText"/>
      </w:pPr>
      <w:r>
        <w:rPr>
          <w:rStyle w:val="FootnoteReference"/>
        </w:rPr>
        <w:footnoteRef/>
      </w:r>
      <w:r>
        <w:t xml:space="preserve"> </w:t>
      </w:r>
      <w:r>
        <w:tab/>
      </w:r>
      <w:r w:rsidRPr="00930A69">
        <w:t>Docket</w:t>
      </w:r>
      <w:r>
        <w:t xml:space="preserve"> No. 40443, Order on Rehearing at FoF 215 (Mar. 6, 2014).  </w:t>
      </w:r>
    </w:p>
  </w:footnote>
  <w:footnote w:id="389">
    <w:p w14:paraId="61E0240A" w14:textId="77777777" w:rsidR="00BF1EC4" w:rsidRPr="001D3DE0" w:rsidRDefault="00BF1EC4" w:rsidP="00B00B7F">
      <w:pPr>
        <w:pStyle w:val="FootnoteText"/>
      </w:pPr>
      <w:r w:rsidRPr="001D3DE0">
        <w:rPr>
          <w:rStyle w:val="FootnoteReference"/>
        </w:rPr>
        <w:footnoteRef/>
      </w:r>
      <w:r w:rsidRPr="001D3DE0">
        <w:t xml:space="preserve"> </w:t>
      </w:r>
      <w:r>
        <w:tab/>
      </w:r>
      <w:r w:rsidRPr="00930A69">
        <w:t>SWEPCO</w:t>
      </w:r>
      <w:r>
        <w:t xml:space="preserve"> Ex. 60 at 36-37</w:t>
      </w:r>
      <w:r w:rsidRPr="001D3DE0">
        <w:t xml:space="preserve">. </w:t>
      </w:r>
    </w:p>
  </w:footnote>
  <w:footnote w:id="390">
    <w:p w14:paraId="6ED37676" w14:textId="77777777" w:rsidR="00BF1EC4" w:rsidRDefault="00BF1EC4" w:rsidP="00B00B7F">
      <w:pPr>
        <w:pStyle w:val="FootnoteText"/>
      </w:pPr>
      <w:r>
        <w:rPr>
          <w:rStyle w:val="FootnoteReference"/>
        </w:rPr>
        <w:footnoteRef/>
      </w:r>
      <w:r>
        <w:t xml:space="preserve"> </w:t>
      </w:r>
      <w:r>
        <w:tab/>
      </w:r>
      <w:proofErr w:type="gramStart"/>
      <w:r w:rsidRPr="00930A69">
        <w:t>OPUC</w:t>
      </w:r>
      <w:r>
        <w:t xml:space="preserve"> Exceptions at 36.</w:t>
      </w:r>
      <w:proofErr w:type="gramEnd"/>
      <w:r>
        <w:t xml:space="preserve">  </w:t>
      </w:r>
    </w:p>
  </w:footnote>
  <w:footnote w:id="391">
    <w:p w14:paraId="41747D1C" w14:textId="77777777" w:rsidR="00BF1EC4" w:rsidRDefault="00BF1EC4" w:rsidP="00B00B7F">
      <w:pPr>
        <w:pStyle w:val="FootnoteText"/>
      </w:pPr>
      <w:r>
        <w:rPr>
          <w:rStyle w:val="FootnoteReference"/>
        </w:rPr>
        <w:footnoteRef/>
      </w:r>
      <w:r>
        <w:t xml:space="preserve"> </w:t>
      </w:r>
      <w:r>
        <w:tab/>
      </w:r>
      <w:r w:rsidRPr="00930A69">
        <w:t>SWEPCO</w:t>
      </w:r>
      <w:r w:rsidRPr="001D3DE0">
        <w:t xml:space="preserve"> Ex. 60 at 34-35.</w:t>
      </w:r>
    </w:p>
  </w:footnote>
  <w:footnote w:id="392">
    <w:p w14:paraId="2CF078C2" w14:textId="77777777" w:rsidR="00BF1EC4" w:rsidRDefault="00BF1EC4" w:rsidP="00B00B7F">
      <w:pPr>
        <w:pStyle w:val="FootnoteText"/>
      </w:pPr>
      <w:r>
        <w:rPr>
          <w:rStyle w:val="FootnoteReference"/>
        </w:rPr>
        <w:footnoteRef/>
      </w:r>
      <w:r>
        <w:t xml:space="preserve"> </w:t>
      </w:r>
      <w:r>
        <w:tab/>
      </w:r>
      <w:r w:rsidRPr="00930A69">
        <w:t>SWEPCO</w:t>
      </w:r>
      <w:r>
        <w:t xml:space="preserve"> Ex. 60 at 35. </w:t>
      </w:r>
    </w:p>
  </w:footnote>
  <w:footnote w:id="393">
    <w:p w14:paraId="20557F4C" w14:textId="77777777" w:rsidR="00BF1EC4" w:rsidRDefault="00BF1EC4" w:rsidP="00B00B7F">
      <w:pPr>
        <w:pStyle w:val="FootnoteText"/>
      </w:pPr>
      <w:r>
        <w:rPr>
          <w:rStyle w:val="FootnoteReference"/>
        </w:rPr>
        <w:footnoteRef/>
      </w:r>
      <w:r>
        <w:t xml:space="preserve"> </w:t>
      </w:r>
      <w:r>
        <w:tab/>
      </w:r>
      <w:proofErr w:type="gramStart"/>
      <w:r>
        <w:t>PFD at 246.</w:t>
      </w:r>
      <w:proofErr w:type="gramEnd"/>
      <w:r>
        <w:t xml:space="preserve">  </w:t>
      </w:r>
    </w:p>
  </w:footnote>
  <w:footnote w:id="394">
    <w:p w14:paraId="0B0151C4" w14:textId="77777777" w:rsidR="00BF1EC4" w:rsidRDefault="00BF1EC4" w:rsidP="00B00B7F">
      <w:pPr>
        <w:pStyle w:val="FootnoteText"/>
      </w:pPr>
      <w:r>
        <w:rPr>
          <w:rStyle w:val="FootnoteReference"/>
        </w:rPr>
        <w:footnoteRef/>
      </w:r>
      <w:r>
        <w:t xml:space="preserve"> </w:t>
      </w:r>
      <w:r>
        <w:tab/>
      </w:r>
      <w:proofErr w:type="gramStart"/>
      <w:r>
        <w:t>Staff Exceptions at 8.</w:t>
      </w:r>
      <w:proofErr w:type="gramEnd"/>
    </w:p>
  </w:footnote>
  <w:footnote w:id="395">
    <w:p w14:paraId="4CAA86CC" w14:textId="77777777" w:rsidR="00BF1EC4" w:rsidRDefault="00BF1EC4" w:rsidP="00B00B7F">
      <w:pPr>
        <w:pStyle w:val="FootnoteText"/>
      </w:pPr>
      <w:r>
        <w:rPr>
          <w:rStyle w:val="FootnoteReference"/>
        </w:rPr>
        <w:footnoteRef/>
      </w:r>
      <w:r>
        <w:t xml:space="preserve">  </w:t>
      </w:r>
      <w:r>
        <w:tab/>
      </w:r>
      <w:proofErr w:type="gramStart"/>
      <w:r>
        <w:t>SWEPCO Ex. 53 at 4; Docket No. 40443, Order on Rehearing at FoFs 179, 180, 181, 184 (Mar. 6, 2014).</w:t>
      </w:r>
      <w:proofErr w:type="gramEnd"/>
    </w:p>
  </w:footnote>
  <w:footnote w:id="396">
    <w:p w14:paraId="45021B99" w14:textId="77777777" w:rsidR="00BF1EC4" w:rsidRPr="00B600EF" w:rsidRDefault="00BF1EC4" w:rsidP="00B00B7F">
      <w:pPr>
        <w:pStyle w:val="FootnoteText"/>
      </w:pPr>
      <w:r>
        <w:rPr>
          <w:rStyle w:val="FootnoteReference"/>
        </w:rPr>
        <w:footnoteRef/>
      </w:r>
      <w:r>
        <w:t xml:space="preserve"> </w:t>
      </w:r>
      <w:r>
        <w:tab/>
        <w:t>SWEPCO Ex. 53 at 6.</w:t>
      </w:r>
    </w:p>
  </w:footnote>
  <w:footnote w:id="397">
    <w:p w14:paraId="7CE98E1A" w14:textId="77777777" w:rsidR="00BF1EC4" w:rsidRDefault="00BF1EC4" w:rsidP="00B00B7F">
      <w:pPr>
        <w:pStyle w:val="FootnoteText"/>
      </w:pPr>
      <w:r>
        <w:rPr>
          <w:rStyle w:val="FootnoteReference"/>
        </w:rPr>
        <w:footnoteRef/>
      </w:r>
      <w:r>
        <w:t xml:space="preserve"> </w:t>
      </w:r>
      <w:r>
        <w:tab/>
      </w:r>
      <w:proofErr w:type="gramStart"/>
      <w:r>
        <w:t>Staff Exceptions at 10.</w:t>
      </w:r>
      <w:proofErr w:type="gramEnd"/>
    </w:p>
  </w:footnote>
  <w:footnote w:id="398">
    <w:p w14:paraId="26FD6D43" w14:textId="77777777" w:rsidR="00BF1EC4" w:rsidRDefault="00BF1EC4" w:rsidP="00B00B7F">
      <w:pPr>
        <w:pStyle w:val="FootnoteText"/>
      </w:pPr>
      <w:r>
        <w:rPr>
          <w:rStyle w:val="FootnoteReference"/>
        </w:rPr>
        <w:footnoteRef/>
      </w:r>
      <w:r>
        <w:rPr>
          <w:i/>
        </w:rPr>
        <w:t xml:space="preserve"> </w:t>
      </w:r>
      <w:r>
        <w:rPr>
          <w:i/>
        </w:rPr>
        <w:tab/>
      </w:r>
      <w:r w:rsidRPr="002804A0">
        <w:rPr>
          <w:i/>
        </w:rPr>
        <w:t>Id.</w:t>
      </w:r>
    </w:p>
  </w:footnote>
  <w:footnote w:id="399">
    <w:p w14:paraId="635579E1" w14:textId="77777777" w:rsidR="00BF1EC4" w:rsidRDefault="00BF1EC4" w:rsidP="00B00B7F">
      <w:pPr>
        <w:pStyle w:val="FootnoteText"/>
      </w:pPr>
      <w:r>
        <w:rPr>
          <w:rStyle w:val="FootnoteReference"/>
        </w:rPr>
        <w:footnoteRef/>
      </w:r>
      <w:r>
        <w:t xml:space="preserve"> </w:t>
      </w:r>
      <w:r>
        <w:tab/>
        <w:t>SWEPCO Ex. 53 at 5.</w:t>
      </w:r>
    </w:p>
  </w:footnote>
  <w:footnote w:id="400">
    <w:p w14:paraId="6131A512" w14:textId="77777777" w:rsidR="00BF1EC4" w:rsidRPr="002804A0" w:rsidRDefault="00BF1EC4" w:rsidP="00B00B7F">
      <w:pPr>
        <w:pStyle w:val="FootnoteText"/>
      </w:pPr>
      <w:r>
        <w:rPr>
          <w:rStyle w:val="FootnoteReference"/>
        </w:rPr>
        <w:footnoteRef/>
      </w:r>
      <w:r>
        <w:rPr>
          <w:i/>
        </w:rPr>
        <w:t xml:space="preserve"> </w:t>
      </w:r>
      <w:r>
        <w:rPr>
          <w:i/>
        </w:rPr>
        <w:tab/>
        <w:t>Id</w:t>
      </w:r>
      <w:r>
        <w:t>.</w:t>
      </w:r>
    </w:p>
  </w:footnote>
  <w:footnote w:id="401">
    <w:p w14:paraId="489698CD" w14:textId="77777777" w:rsidR="00BF1EC4" w:rsidRDefault="00BF1EC4" w:rsidP="00B00B7F">
      <w:pPr>
        <w:pStyle w:val="FootnoteText"/>
      </w:pPr>
      <w:r>
        <w:rPr>
          <w:rStyle w:val="FootnoteReference"/>
        </w:rPr>
        <w:footnoteRef/>
      </w:r>
      <w:r>
        <w:t xml:space="preserve"> </w:t>
      </w:r>
      <w:r>
        <w:tab/>
      </w:r>
      <w:proofErr w:type="gramStart"/>
      <w:r>
        <w:t>Staff Exceptions at 9.</w:t>
      </w:r>
      <w:proofErr w:type="gramEnd"/>
    </w:p>
  </w:footnote>
  <w:footnote w:id="402">
    <w:p w14:paraId="5470D493" w14:textId="77777777" w:rsidR="00BF1EC4" w:rsidRDefault="00BF1EC4" w:rsidP="00B00B7F">
      <w:pPr>
        <w:pStyle w:val="FootnoteText"/>
      </w:pPr>
      <w:r>
        <w:rPr>
          <w:rStyle w:val="FootnoteReference"/>
        </w:rPr>
        <w:footnoteRef/>
      </w:r>
      <w:r>
        <w:t xml:space="preserve">  </w:t>
      </w:r>
      <w:r>
        <w:tab/>
      </w:r>
      <w:proofErr w:type="gramStart"/>
      <w:r w:rsidRPr="00612443">
        <w:rPr>
          <w:i/>
        </w:rPr>
        <w:t>Id.</w:t>
      </w:r>
      <w:r w:rsidRPr="006E33BD">
        <w:t xml:space="preserve"> at </w:t>
      </w:r>
      <w:r>
        <w:t>7</w:t>
      </w:r>
      <w:r w:rsidRPr="006E33BD">
        <w:t>.</w:t>
      </w:r>
      <w:proofErr w:type="gramEnd"/>
    </w:p>
  </w:footnote>
  <w:footnote w:id="403">
    <w:p w14:paraId="0797FF05" w14:textId="77777777" w:rsidR="00BF1EC4" w:rsidRPr="006E33BD" w:rsidRDefault="00BF1EC4" w:rsidP="00B00B7F">
      <w:pPr>
        <w:pStyle w:val="FootnoteText"/>
      </w:pPr>
      <w:r w:rsidRPr="006E33BD">
        <w:rPr>
          <w:rStyle w:val="FootnoteReference"/>
        </w:rPr>
        <w:footnoteRef/>
      </w:r>
      <w:r w:rsidRPr="006E33BD">
        <w:t xml:space="preserve"> </w:t>
      </w:r>
      <w:r>
        <w:t xml:space="preserve"> </w:t>
      </w:r>
      <w:r>
        <w:tab/>
        <w:t xml:space="preserve">Direct Testimony of Malcolm Smoak, </w:t>
      </w:r>
      <w:r w:rsidRPr="006E33BD">
        <w:t>SWEPCO Ex. 19 at 5</w:t>
      </w:r>
      <w:r>
        <w:t>,</w:t>
      </w:r>
      <w:r w:rsidRPr="006E33BD">
        <w:t xml:space="preserve"> 19</w:t>
      </w:r>
      <w:r>
        <w:t>;</w:t>
      </w:r>
      <w:r w:rsidRPr="006E33BD">
        <w:t xml:space="preserve"> SWEPCO Ex. 53 at 16.</w:t>
      </w:r>
    </w:p>
  </w:footnote>
  <w:footnote w:id="404">
    <w:p w14:paraId="6D1F20B4" w14:textId="77777777" w:rsidR="00BF1EC4" w:rsidRDefault="00BF1EC4" w:rsidP="00B00B7F">
      <w:pPr>
        <w:pStyle w:val="FootnoteText"/>
      </w:pPr>
      <w:r>
        <w:rPr>
          <w:rStyle w:val="FootnoteReference"/>
        </w:rPr>
        <w:footnoteRef/>
      </w:r>
      <w:r>
        <w:t xml:space="preserve">  </w:t>
      </w:r>
      <w:r>
        <w:tab/>
      </w:r>
      <w:proofErr w:type="gramStart"/>
      <w:r>
        <w:t>Staff Exceptions at 9.</w:t>
      </w:r>
      <w:proofErr w:type="gramEnd"/>
    </w:p>
  </w:footnote>
  <w:footnote w:id="405">
    <w:p w14:paraId="5E369AF1" w14:textId="77777777" w:rsidR="00BF1EC4" w:rsidRPr="005970CD" w:rsidRDefault="00BF1EC4" w:rsidP="00B00B7F">
      <w:pPr>
        <w:pStyle w:val="FootnoteText"/>
      </w:pPr>
      <w:r>
        <w:rPr>
          <w:rStyle w:val="FootnoteReference"/>
        </w:rPr>
        <w:footnoteRef/>
      </w:r>
      <w:r>
        <w:t xml:space="preserve"> </w:t>
      </w:r>
      <w:r>
        <w:tab/>
      </w:r>
      <w:r>
        <w:rPr>
          <w:i/>
        </w:rPr>
        <w:t>Id</w:t>
      </w:r>
      <w:r>
        <w:t xml:space="preserve">. at 9 (citing Open Meeting Tr., Staff Ex. 16 at 38-39 (Aug. 18, 2016)).  </w:t>
      </w:r>
      <w:r w:rsidRPr="005970CD">
        <w:rPr>
          <w:i/>
        </w:rPr>
        <w:t>Agreed Notice of Violation and Settlement Agreement Relating to Southwestern Electric Power Company’s Violation of PURA §</w:t>
      </w:r>
      <w:r>
        <w:rPr>
          <w:i/>
        </w:rPr>
        <w:t xml:space="preserve">§ </w:t>
      </w:r>
      <w:r w:rsidRPr="005970CD">
        <w:rPr>
          <w:i/>
        </w:rPr>
        <w:t xml:space="preserve">38.005 and 16 TAC § </w:t>
      </w:r>
      <w:r>
        <w:rPr>
          <w:i/>
        </w:rPr>
        <w:t>2</w:t>
      </w:r>
      <w:r w:rsidRPr="005970CD">
        <w:rPr>
          <w:i/>
        </w:rPr>
        <w:t>5.52, Concerning Reliability and Continuity of Service</w:t>
      </w:r>
      <w:r>
        <w:rPr>
          <w:i/>
        </w:rPr>
        <w:t xml:space="preserve">, </w:t>
      </w:r>
      <w:r w:rsidRPr="00550D87">
        <w:t>Docket No. 46117</w:t>
      </w:r>
      <w:r w:rsidRPr="005970CD">
        <w:rPr>
          <w:i/>
        </w:rPr>
        <w:t>.</w:t>
      </w:r>
    </w:p>
  </w:footnote>
  <w:footnote w:id="406">
    <w:p w14:paraId="6FE2EBA3" w14:textId="77777777" w:rsidR="00BF1EC4" w:rsidRPr="008A3E12" w:rsidRDefault="00BF1EC4" w:rsidP="00B00B7F">
      <w:pPr>
        <w:pStyle w:val="FootnoteText"/>
      </w:pPr>
      <w:r>
        <w:rPr>
          <w:rStyle w:val="FootnoteReference"/>
        </w:rPr>
        <w:footnoteRef/>
      </w:r>
      <w:r>
        <w:t xml:space="preserve"> </w:t>
      </w:r>
      <w:r>
        <w:tab/>
      </w:r>
      <w:r>
        <w:rPr>
          <w:i/>
        </w:rPr>
        <w:t>Id</w:t>
      </w:r>
      <w:r>
        <w:t>.</w:t>
      </w:r>
    </w:p>
  </w:footnote>
  <w:footnote w:id="407">
    <w:p w14:paraId="6F76AF1E" w14:textId="77777777" w:rsidR="00BF1EC4" w:rsidRPr="006E33BD" w:rsidRDefault="00BF1EC4" w:rsidP="00B00B7F">
      <w:pPr>
        <w:pStyle w:val="FootnoteText"/>
      </w:pPr>
      <w:r w:rsidRPr="006E33BD">
        <w:rPr>
          <w:rStyle w:val="FootnoteReference"/>
        </w:rPr>
        <w:footnoteRef/>
      </w:r>
      <w:r w:rsidRPr="006E33BD">
        <w:t xml:space="preserve"> </w:t>
      </w:r>
      <w:r>
        <w:t xml:space="preserve"> </w:t>
      </w:r>
      <w:r>
        <w:tab/>
      </w:r>
      <w:proofErr w:type="gramStart"/>
      <w:r>
        <w:rPr>
          <w:i/>
        </w:rPr>
        <w:t>Id</w:t>
      </w:r>
      <w:r>
        <w:t>.</w:t>
      </w:r>
      <w:r w:rsidRPr="006E33BD">
        <w:t xml:space="preserve"> at 42.</w:t>
      </w:r>
      <w:proofErr w:type="gramEnd"/>
    </w:p>
  </w:footnote>
  <w:footnote w:id="408">
    <w:p w14:paraId="3729091C" w14:textId="77777777" w:rsidR="00BF1EC4" w:rsidRDefault="00BF1EC4" w:rsidP="001649C1">
      <w:pPr>
        <w:pStyle w:val="FootnoteText"/>
      </w:pPr>
      <w:r>
        <w:rPr>
          <w:rStyle w:val="FootnoteReference"/>
        </w:rPr>
        <w:footnoteRef/>
      </w:r>
      <w:r>
        <w:t xml:space="preserve"> </w:t>
      </w:r>
      <w:r>
        <w:tab/>
        <w:t>Docket No. 40443, Order on Rehearing at FoFs 241 and 242 (Mar. 6, 2014).</w:t>
      </w:r>
    </w:p>
  </w:footnote>
  <w:footnote w:id="409">
    <w:p w14:paraId="3C4F50B6" w14:textId="77777777" w:rsidR="00BF1EC4" w:rsidRPr="00127039" w:rsidRDefault="00BF1EC4" w:rsidP="001649C1">
      <w:pPr>
        <w:pStyle w:val="FootnoteText"/>
      </w:pPr>
      <w:r w:rsidRPr="00127039">
        <w:rPr>
          <w:rStyle w:val="FootnoteReference"/>
        </w:rPr>
        <w:footnoteRef/>
      </w:r>
      <w:r w:rsidRPr="00127039">
        <w:t xml:space="preserve">  </w:t>
      </w:r>
      <w:r>
        <w:tab/>
      </w:r>
      <w:proofErr w:type="gramStart"/>
      <w:r w:rsidRPr="00127039">
        <w:t xml:space="preserve">Staff </w:t>
      </w:r>
      <w:r>
        <w:t xml:space="preserve">Initial </w:t>
      </w:r>
      <w:r w:rsidRPr="00127039">
        <w:t>Brief at 34.</w:t>
      </w:r>
      <w:proofErr w:type="gramEnd"/>
    </w:p>
  </w:footnote>
  <w:footnote w:id="410">
    <w:p w14:paraId="49D83247" w14:textId="77777777" w:rsidR="00BF1EC4" w:rsidRDefault="00BF1EC4" w:rsidP="001649C1">
      <w:pPr>
        <w:pStyle w:val="FootnoteText"/>
      </w:pPr>
      <w:r>
        <w:rPr>
          <w:rStyle w:val="FootnoteReference"/>
        </w:rPr>
        <w:footnoteRef/>
      </w:r>
      <w:r>
        <w:t xml:space="preserve"> </w:t>
      </w:r>
      <w:r>
        <w:tab/>
      </w:r>
      <w:proofErr w:type="gramStart"/>
      <w:r>
        <w:t>PFD at 264-65.</w:t>
      </w:r>
      <w:proofErr w:type="gramEnd"/>
      <w:r>
        <w:t xml:space="preserve">  As noted in SWEPCO’s exceptions, proposed FoFs 216 and 217 do not carry out the intent expressed in the PFD.  </w:t>
      </w:r>
      <w:proofErr w:type="gramStart"/>
      <w:r>
        <w:t>SWEPCO Exceptions at 51.</w:t>
      </w:r>
      <w:proofErr w:type="gramEnd"/>
    </w:p>
  </w:footnote>
  <w:footnote w:id="411">
    <w:p w14:paraId="060DB7AC" w14:textId="77777777" w:rsidR="00BF1EC4" w:rsidRDefault="00BF1EC4" w:rsidP="001649C1">
      <w:pPr>
        <w:pStyle w:val="FootnoteText"/>
      </w:pPr>
      <w:r>
        <w:rPr>
          <w:rStyle w:val="FootnoteReference"/>
        </w:rPr>
        <w:footnoteRef/>
      </w:r>
      <w:r>
        <w:t xml:space="preserve"> </w:t>
      </w:r>
      <w:r>
        <w:tab/>
        <w:t>SWEPCO Ex. 52 at 49.</w:t>
      </w:r>
    </w:p>
  </w:footnote>
  <w:footnote w:id="412">
    <w:p w14:paraId="574BE7D9" w14:textId="77777777" w:rsidR="00BF1EC4" w:rsidRDefault="00BF1EC4" w:rsidP="001649C1">
      <w:pPr>
        <w:pStyle w:val="FootnoteText"/>
      </w:pPr>
      <w:r>
        <w:rPr>
          <w:rStyle w:val="FootnoteReference"/>
        </w:rPr>
        <w:footnoteRef/>
      </w:r>
      <w:r>
        <w:t xml:space="preserve"> </w:t>
      </w:r>
      <w:r>
        <w:tab/>
      </w:r>
      <w:proofErr w:type="gramStart"/>
      <w:r>
        <w:t>CARD Exceptions at 40.</w:t>
      </w:r>
      <w:proofErr w:type="gramEnd"/>
    </w:p>
  </w:footnote>
  <w:footnote w:id="413">
    <w:p w14:paraId="160A49AD" w14:textId="77777777" w:rsidR="00BF1EC4" w:rsidRDefault="00BF1EC4" w:rsidP="001649C1">
      <w:pPr>
        <w:pStyle w:val="FootnoteText"/>
      </w:pPr>
      <w:r>
        <w:rPr>
          <w:rStyle w:val="FootnoteReference"/>
        </w:rPr>
        <w:footnoteRef/>
      </w:r>
      <w:r>
        <w:t xml:space="preserve"> </w:t>
      </w:r>
      <w:r>
        <w:tab/>
      </w:r>
      <w:proofErr w:type="gramStart"/>
      <w:r>
        <w:t>Staff Exceptions at 11.</w:t>
      </w:r>
      <w:proofErr w:type="gramEnd"/>
    </w:p>
  </w:footnote>
  <w:footnote w:id="414">
    <w:p w14:paraId="23B91D29" w14:textId="77777777" w:rsidR="00BF1EC4" w:rsidRDefault="00BF1EC4" w:rsidP="001649C1">
      <w:pPr>
        <w:pStyle w:val="FootnoteText"/>
      </w:pPr>
      <w:r>
        <w:rPr>
          <w:rStyle w:val="FootnoteReference"/>
        </w:rPr>
        <w:footnoteRef/>
      </w:r>
      <w:r>
        <w:t xml:space="preserve"> </w:t>
      </w:r>
      <w:r>
        <w:tab/>
      </w:r>
      <w:proofErr w:type="gramStart"/>
      <w:r>
        <w:t>PURA § 36.051.</w:t>
      </w:r>
      <w:proofErr w:type="gramEnd"/>
    </w:p>
  </w:footnote>
  <w:footnote w:id="415">
    <w:p w14:paraId="0FA060ED" w14:textId="77777777" w:rsidR="00BF1EC4" w:rsidRPr="00621E5A" w:rsidRDefault="00BF1EC4" w:rsidP="00A54D5C">
      <w:pPr>
        <w:pStyle w:val="FootnoteText"/>
      </w:pPr>
      <w:r w:rsidRPr="00621E5A">
        <w:rPr>
          <w:rStyle w:val="FootnoteReference"/>
        </w:rPr>
        <w:footnoteRef/>
      </w:r>
      <w:r w:rsidRPr="00621E5A">
        <w:t xml:space="preserve"> </w:t>
      </w:r>
      <w:r>
        <w:tab/>
      </w:r>
      <w:proofErr w:type="gramStart"/>
      <w:r w:rsidRPr="00621E5A">
        <w:t xml:space="preserve">PURA </w:t>
      </w:r>
      <w:r>
        <w:t>§</w:t>
      </w:r>
      <w:r w:rsidRPr="00621E5A">
        <w:t xml:space="preserve"> 36.051.</w:t>
      </w:r>
      <w:proofErr w:type="gramEnd"/>
    </w:p>
  </w:footnote>
  <w:footnote w:id="416">
    <w:p w14:paraId="16B30BF6" w14:textId="77777777" w:rsidR="00BF1EC4" w:rsidRPr="00621E5A" w:rsidRDefault="00BF1EC4" w:rsidP="00A54D5C">
      <w:pPr>
        <w:pStyle w:val="FootnoteText"/>
      </w:pPr>
      <w:r w:rsidRPr="00621E5A">
        <w:rPr>
          <w:rStyle w:val="FootnoteReference"/>
        </w:rPr>
        <w:footnoteRef/>
      </w:r>
      <w:r w:rsidRPr="00621E5A">
        <w:t xml:space="preserve"> </w:t>
      </w:r>
      <w:r>
        <w:tab/>
        <w:t>Direct Testimony of William P. Marcus, OPUC Ex. 6</w:t>
      </w:r>
      <w:r w:rsidRPr="00621E5A">
        <w:t xml:space="preserve"> at 33.</w:t>
      </w:r>
    </w:p>
  </w:footnote>
  <w:footnote w:id="417">
    <w:p w14:paraId="6DDEA81E" w14:textId="77777777" w:rsidR="00BF1EC4" w:rsidRPr="003E7F14" w:rsidRDefault="00BF1EC4" w:rsidP="00A54D5C">
      <w:pPr>
        <w:pStyle w:val="FootnoteText"/>
      </w:pPr>
      <w:r>
        <w:rPr>
          <w:rStyle w:val="FootnoteReference"/>
        </w:rPr>
        <w:footnoteRef/>
      </w:r>
      <w:r>
        <w:t xml:space="preserve"> </w:t>
      </w:r>
      <w:r>
        <w:tab/>
        <w:t>Docket No. 40443, Order on Rehearing at FoF No. 237 (Mar. 6, 2014).</w:t>
      </w:r>
    </w:p>
  </w:footnote>
  <w:footnote w:id="418">
    <w:p w14:paraId="11E4793E" w14:textId="77777777" w:rsidR="00BF1EC4" w:rsidRDefault="00BF1EC4" w:rsidP="00A54D5C">
      <w:pPr>
        <w:pStyle w:val="FootnoteText"/>
      </w:pPr>
      <w:r>
        <w:rPr>
          <w:rStyle w:val="FootnoteReference"/>
        </w:rPr>
        <w:footnoteRef/>
      </w:r>
      <w:r>
        <w:t xml:space="preserve"> </w:t>
      </w:r>
      <w:r>
        <w:tab/>
      </w:r>
      <w:proofErr w:type="gramStart"/>
      <w:r>
        <w:t>OPUC Exceptions at 38.</w:t>
      </w:r>
      <w:proofErr w:type="gramEnd"/>
    </w:p>
  </w:footnote>
  <w:footnote w:id="419">
    <w:p w14:paraId="050BFA0C" w14:textId="77777777" w:rsidR="00BF1EC4" w:rsidRDefault="00BF1EC4" w:rsidP="00A54D5C">
      <w:pPr>
        <w:pStyle w:val="FootnoteText"/>
      </w:pPr>
      <w:r>
        <w:rPr>
          <w:rStyle w:val="FootnoteReference"/>
        </w:rPr>
        <w:footnoteRef/>
      </w:r>
      <w:r>
        <w:t xml:space="preserve"> </w:t>
      </w:r>
      <w:r>
        <w:tab/>
        <w:t>Docket No. 40443, PFD at 230.</w:t>
      </w:r>
    </w:p>
  </w:footnote>
  <w:footnote w:id="420">
    <w:p w14:paraId="37844C84" w14:textId="77777777" w:rsidR="00BF1EC4" w:rsidRDefault="00BF1EC4" w:rsidP="00A54D5C">
      <w:pPr>
        <w:pStyle w:val="FootnoteText"/>
      </w:pPr>
      <w:r>
        <w:rPr>
          <w:rStyle w:val="FootnoteReference"/>
        </w:rPr>
        <w:footnoteRef/>
      </w:r>
      <w:r>
        <w:t xml:space="preserve"> </w:t>
      </w:r>
      <w:r>
        <w:tab/>
      </w:r>
      <w:proofErr w:type="gramStart"/>
      <w:r>
        <w:t>OPUC Exceptions at 40.</w:t>
      </w:r>
      <w:proofErr w:type="gramEnd"/>
    </w:p>
  </w:footnote>
  <w:footnote w:id="421">
    <w:p w14:paraId="69783998" w14:textId="77777777" w:rsidR="00BF1EC4" w:rsidRDefault="00BF1EC4" w:rsidP="00535177">
      <w:pPr>
        <w:pStyle w:val="FootnoteText"/>
      </w:pPr>
      <w:r>
        <w:rPr>
          <w:rStyle w:val="FootnoteReference"/>
        </w:rPr>
        <w:footnoteRef/>
      </w:r>
      <w:r>
        <w:t xml:space="preserve"> </w:t>
      </w:r>
      <w:r>
        <w:tab/>
        <w:t>Docket No. 40443, Order on Rehearing at 41 (Mar. 6, 2014).</w:t>
      </w:r>
    </w:p>
  </w:footnote>
  <w:footnote w:id="422">
    <w:p w14:paraId="44466DA9" w14:textId="77777777" w:rsidR="00BF1EC4" w:rsidRDefault="00BF1EC4" w:rsidP="00A54D5C">
      <w:pPr>
        <w:pStyle w:val="FootnoteText"/>
      </w:pPr>
      <w:r>
        <w:rPr>
          <w:rStyle w:val="FootnoteReference"/>
        </w:rPr>
        <w:footnoteRef/>
      </w:r>
      <w:r>
        <w:t xml:space="preserve"> </w:t>
      </w:r>
      <w:r>
        <w:tab/>
      </w:r>
      <w:proofErr w:type="gramStart"/>
      <w:r>
        <w:t>OPUC Exceptions at 41.</w:t>
      </w:r>
      <w:proofErr w:type="gramEnd"/>
    </w:p>
  </w:footnote>
  <w:footnote w:id="423">
    <w:p w14:paraId="5CE9C662" w14:textId="77777777" w:rsidR="00BF1EC4" w:rsidRDefault="00BF1EC4" w:rsidP="00A54D5C">
      <w:pPr>
        <w:pStyle w:val="FootnoteText"/>
      </w:pPr>
      <w:r>
        <w:rPr>
          <w:rStyle w:val="FootnoteReference"/>
        </w:rPr>
        <w:footnoteRef/>
      </w:r>
      <w:r>
        <w:t xml:space="preserve"> </w:t>
      </w:r>
      <w:r>
        <w:tab/>
      </w:r>
      <w:proofErr w:type="gramStart"/>
      <w:r>
        <w:t>OPUC Exceptions at 41.</w:t>
      </w:r>
      <w:proofErr w:type="gramEnd"/>
    </w:p>
  </w:footnote>
  <w:footnote w:id="424">
    <w:p w14:paraId="0F6C7D37" w14:textId="77777777" w:rsidR="00BF1EC4" w:rsidRDefault="00BF1EC4" w:rsidP="00A54D5C">
      <w:pPr>
        <w:pStyle w:val="FootnoteText"/>
      </w:pPr>
      <w:r>
        <w:rPr>
          <w:rStyle w:val="FootnoteReference"/>
        </w:rPr>
        <w:footnoteRef/>
      </w:r>
      <w:r>
        <w:t xml:space="preserve"> </w:t>
      </w:r>
      <w:r>
        <w:tab/>
      </w:r>
      <w:proofErr w:type="gramStart"/>
      <w:r>
        <w:t>William Marcus Workpapers, OPUC Ex. 7 at pages 65 and 61, respectively.</w:t>
      </w:r>
      <w:proofErr w:type="gramEnd"/>
    </w:p>
  </w:footnote>
  <w:footnote w:id="425">
    <w:p w14:paraId="500C51C4" w14:textId="77777777" w:rsidR="00BF1EC4" w:rsidRDefault="00BF1EC4" w:rsidP="00A54D5C">
      <w:pPr>
        <w:pStyle w:val="FootnoteText"/>
      </w:pPr>
      <w:r>
        <w:rPr>
          <w:rStyle w:val="FootnoteReference"/>
        </w:rPr>
        <w:footnoteRef/>
      </w:r>
      <w:r>
        <w:t xml:space="preserve"> </w:t>
      </w:r>
      <w:r>
        <w:tab/>
        <w:t>PFD at 267-68 (citing Docket No. 40443, Order on Rehearing at FoF 236).</w:t>
      </w:r>
    </w:p>
  </w:footnote>
  <w:footnote w:id="426">
    <w:p w14:paraId="03A99B2E" w14:textId="77777777" w:rsidR="00BF1EC4" w:rsidRDefault="00BF1EC4" w:rsidP="00A54D5C">
      <w:pPr>
        <w:pStyle w:val="FootnoteText"/>
      </w:pPr>
      <w:r>
        <w:rPr>
          <w:rStyle w:val="FootnoteReference"/>
        </w:rPr>
        <w:footnoteRef/>
      </w:r>
      <w:r>
        <w:t xml:space="preserve"> </w:t>
      </w:r>
      <w:r>
        <w:tab/>
      </w:r>
      <w:r w:rsidRPr="002C446F">
        <w:rPr>
          <w:i/>
        </w:rPr>
        <w:t>Application of Houston Lighting and Power Company for Authority to Change Rates</w:t>
      </w:r>
      <w:r>
        <w:t xml:space="preserve">, </w:t>
      </w:r>
      <w:r w:rsidRPr="009550BA">
        <w:t xml:space="preserve">Docket No. 8425 and </w:t>
      </w:r>
      <w:r>
        <w:rPr>
          <w:i/>
        </w:rPr>
        <w:t>Application of Houston Lighting and Power Company for a Final Reconciliation of Fuel Costs Through September 30</w:t>
      </w:r>
      <w:r w:rsidRPr="002C446F">
        <w:t>,</w:t>
      </w:r>
      <w:r>
        <w:rPr>
          <w:i/>
        </w:rPr>
        <w:t xml:space="preserve"> 1988, </w:t>
      </w:r>
      <w:r>
        <w:t xml:space="preserve">Docket No. </w:t>
      </w:r>
      <w:r w:rsidRPr="009550BA">
        <w:t xml:space="preserve">8431, Final Order at </w:t>
      </w:r>
      <w:r>
        <w:t>FoF</w:t>
      </w:r>
      <w:r w:rsidRPr="009550BA">
        <w:t xml:space="preserve"> 191 (</w:t>
      </w:r>
      <w:r>
        <w:t>Jun</w:t>
      </w:r>
      <w:r w:rsidRPr="009550BA">
        <w:t xml:space="preserve">. </w:t>
      </w:r>
      <w:r>
        <w:t>20</w:t>
      </w:r>
      <w:r w:rsidRPr="009550BA">
        <w:t>, 1990).</w:t>
      </w:r>
    </w:p>
  </w:footnote>
  <w:footnote w:id="427">
    <w:p w14:paraId="1CB2F86C" w14:textId="77777777" w:rsidR="00BF1EC4" w:rsidRPr="00621E5A" w:rsidRDefault="00BF1EC4" w:rsidP="00A54D5C">
      <w:pPr>
        <w:pStyle w:val="FootnoteText"/>
      </w:pPr>
      <w:r w:rsidRPr="00621E5A">
        <w:rPr>
          <w:rStyle w:val="FootnoteReference"/>
        </w:rPr>
        <w:footnoteRef/>
      </w:r>
      <w:r w:rsidRPr="00621E5A">
        <w:t xml:space="preserve"> </w:t>
      </w:r>
      <w:r>
        <w:tab/>
      </w:r>
      <w:r w:rsidRPr="00621E5A">
        <w:t xml:space="preserve">Docket No. 40443, </w:t>
      </w:r>
      <w:r>
        <w:t>PFD</w:t>
      </w:r>
      <w:r w:rsidRPr="00621E5A">
        <w:t xml:space="preserve"> at 230</w:t>
      </w:r>
      <w:r>
        <w:t xml:space="preserve"> (May 20, 2013)</w:t>
      </w:r>
      <w:r w:rsidRPr="00621E5A">
        <w:t>.</w:t>
      </w:r>
    </w:p>
  </w:footnote>
  <w:footnote w:id="428">
    <w:p w14:paraId="18F1105E" w14:textId="77777777" w:rsidR="00BF1EC4" w:rsidRPr="00673B6A" w:rsidRDefault="00BF1EC4" w:rsidP="00F54027">
      <w:pPr>
        <w:pStyle w:val="FootnoteText"/>
      </w:pPr>
      <w:r w:rsidRPr="00673B6A">
        <w:rPr>
          <w:rStyle w:val="FootnoteReference"/>
        </w:rPr>
        <w:footnoteRef/>
      </w:r>
      <w:r w:rsidRPr="00673B6A">
        <w:t xml:space="preserve"> </w:t>
      </w:r>
      <w:r>
        <w:tab/>
        <w:t>OPUC Ex. 6</w:t>
      </w:r>
      <w:r w:rsidRPr="00673B6A">
        <w:t xml:space="preserve"> at 38.</w:t>
      </w:r>
    </w:p>
  </w:footnote>
  <w:footnote w:id="429">
    <w:p w14:paraId="730DA469" w14:textId="77777777" w:rsidR="00BF1EC4" w:rsidRDefault="00BF1EC4" w:rsidP="00F54027">
      <w:pPr>
        <w:pStyle w:val="FootnoteText"/>
      </w:pPr>
      <w:r>
        <w:rPr>
          <w:rStyle w:val="FootnoteReference"/>
        </w:rPr>
        <w:footnoteRef/>
      </w:r>
      <w:r>
        <w:t xml:space="preserve"> </w:t>
      </w:r>
      <w:r>
        <w:tab/>
      </w:r>
      <w:proofErr w:type="gramStart"/>
      <w:r>
        <w:t>PFD at 270 (footnote omitted).</w:t>
      </w:r>
      <w:proofErr w:type="gramEnd"/>
    </w:p>
  </w:footnote>
  <w:footnote w:id="430">
    <w:p w14:paraId="6D694E2C" w14:textId="77777777" w:rsidR="00BF1EC4" w:rsidRPr="00673B6A" w:rsidRDefault="00BF1EC4" w:rsidP="00F54027">
      <w:pPr>
        <w:pStyle w:val="FootnoteText"/>
      </w:pPr>
      <w:r w:rsidRPr="00673B6A">
        <w:rPr>
          <w:rStyle w:val="FootnoteReference"/>
        </w:rPr>
        <w:footnoteRef/>
      </w:r>
      <w:r w:rsidRPr="00673B6A">
        <w:t xml:space="preserve"> </w:t>
      </w:r>
      <w:r>
        <w:tab/>
        <w:t>SWEPCO Ex. 52</w:t>
      </w:r>
      <w:r w:rsidRPr="00673B6A">
        <w:t xml:space="preserve"> at 51-52.</w:t>
      </w:r>
    </w:p>
  </w:footnote>
  <w:footnote w:id="431">
    <w:p w14:paraId="7BE8DBC0" w14:textId="77777777" w:rsidR="00BF1EC4" w:rsidRDefault="00BF1EC4" w:rsidP="00F54027">
      <w:pPr>
        <w:pStyle w:val="FootnoteText"/>
      </w:pPr>
      <w:r>
        <w:rPr>
          <w:rStyle w:val="FootnoteReference"/>
        </w:rPr>
        <w:footnoteRef/>
      </w:r>
      <w:r>
        <w:t xml:space="preserve"> </w:t>
      </w:r>
      <w:r>
        <w:tab/>
        <w:t>SWEPCO Ex. 53 at 12-13.</w:t>
      </w:r>
    </w:p>
  </w:footnote>
  <w:footnote w:id="432">
    <w:p w14:paraId="2F435900" w14:textId="77777777" w:rsidR="00BF1EC4" w:rsidRDefault="00BF1EC4" w:rsidP="00F54027">
      <w:pPr>
        <w:pStyle w:val="FootnoteText"/>
      </w:pPr>
      <w:r>
        <w:rPr>
          <w:rStyle w:val="FootnoteReference"/>
        </w:rPr>
        <w:footnoteRef/>
      </w:r>
      <w:r>
        <w:t xml:space="preserve"> </w:t>
      </w:r>
      <w:r>
        <w:tab/>
      </w:r>
      <w:proofErr w:type="gramStart"/>
      <w:r>
        <w:t>PFD at 270.</w:t>
      </w:r>
      <w:proofErr w:type="gramEnd"/>
    </w:p>
  </w:footnote>
  <w:footnote w:id="433">
    <w:p w14:paraId="45BA1F67" w14:textId="77777777" w:rsidR="00BF1EC4" w:rsidRPr="00733145" w:rsidRDefault="00BF1EC4" w:rsidP="001649C1">
      <w:pPr>
        <w:pStyle w:val="FootnoteText"/>
      </w:pPr>
      <w:r w:rsidRPr="00733145">
        <w:rPr>
          <w:rStyle w:val="FootnoteReference"/>
        </w:rPr>
        <w:footnoteRef/>
      </w:r>
      <w:r w:rsidRPr="00733145">
        <w:t xml:space="preserve"> </w:t>
      </w:r>
      <w:r>
        <w:tab/>
      </w:r>
      <w:r w:rsidRPr="0016406A">
        <w:rPr>
          <w:i/>
        </w:rPr>
        <w:t>Application of Southwestern Electric Power Company for Rate Case Expenses Severed from PUC Docket No. 40443</w:t>
      </w:r>
      <w:r w:rsidRPr="00733145">
        <w:t>, Docket No. 42370</w:t>
      </w:r>
      <w:r>
        <w:t>, Final Order</w:t>
      </w:r>
      <w:r w:rsidRPr="00733145">
        <w:t xml:space="preserve"> (Jun. 24, 2015).</w:t>
      </w:r>
    </w:p>
  </w:footnote>
  <w:footnote w:id="434">
    <w:p w14:paraId="10539A6C" w14:textId="77777777" w:rsidR="00BF1EC4" w:rsidRPr="00733145" w:rsidRDefault="00BF1EC4" w:rsidP="001649C1">
      <w:pPr>
        <w:pStyle w:val="FootnoteText"/>
      </w:pPr>
      <w:r w:rsidRPr="00733145">
        <w:rPr>
          <w:rStyle w:val="FootnoteReference"/>
        </w:rPr>
        <w:footnoteRef/>
      </w:r>
      <w:r w:rsidRPr="00733145">
        <w:t xml:space="preserve"> </w:t>
      </w:r>
      <w:r>
        <w:tab/>
      </w:r>
      <w:proofErr w:type="gramStart"/>
      <w:r w:rsidRPr="0016406A">
        <w:rPr>
          <w:i/>
        </w:rPr>
        <w:t>Application of Southwestern Electric Power Company for Approval to Amend Transmission Cost Recovery Factor</w:t>
      </w:r>
      <w:r w:rsidRPr="00733145">
        <w:t>, Docket No. 42448</w:t>
      </w:r>
      <w:r>
        <w:t>, Final Order</w:t>
      </w:r>
      <w:r w:rsidRPr="00733145">
        <w:t xml:space="preserve"> (Nov. 24, 2014).</w:t>
      </w:r>
      <w:proofErr w:type="gramEnd"/>
    </w:p>
  </w:footnote>
  <w:footnote w:id="435">
    <w:p w14:paraId="7257D934" w14:textId="77777777" w:rsidR="00BF1EC4" w:rsidRPr="00733145" w:rsidRDefault="00BF1EC4" w:rsidP="001649C1">
      <w:pPr>
        <w:pStyle w:val="FootnoteText"/>
      </w:pPr>
      <w:r w:rsidRPr="00733145">
        <w:rPr>
          <w:rStyle w:val="FootnoteReference"/>
        </w:rPr>
        <w:footnoteRef/>
      </w:r>
      <w:r w:rsidRPr="00733145">
        <w:t xml:space="preserve"> </w:t>
      </w:r>
      <w:r>
        <w:tab/>
      </w:r>
      <w:r w:rsidRPr="0016406A">
        <w:rPr>
          <w:i/>
        </w:rPr>
        <w:t>Application of Southwestern Electric Power Company for Authority to Reconcile Fuel Costs</w:t>
      </w:r>
      <w:r w:rsidRPr="00733145">
        <w:t>, Docket No.</w:t>
      </w:r>
      <w:r>
        <w:t> </w:t>
      </w:r>
      <w:r w:rsidRPr="00733145">
        <w:t>42527</w:t>
      </w:r>
      <w:r>
        <w:t>, Final Order</w:t>
      </w:r>
      <w:r w:rsidRPr="00733145">
        <w:t xml:space="preserve"> (Feb. 18, 2015).</w:t>
      </w:r>
    </w:p>
  </w:footnote>
  <w:footnote w:id="436">
    <w:p w14:paraId="2F349408" w14:textId="77777777" w:rsidR="00BF1EC4" w:rsidRPr="00733145" w:rsidRDefault="00BF1EC4" w:rsidP="001649C1">
      <w:pPr>
        <w:pStyle w:val="FootnoteText"/>
      </w:pPr>
      <w:r w:rsidRPr="00733145">
        <w:rPr>
          <w:rStyle w:val="FootnoteReference"/>
        </w:rPr>
        <w:footnoteRef/>
      </w:r>
      <w:r w:rsidRPr="00733145">
        <w:t xml:space="preserve"> </w:t>
      </w:r>
      <w:r>
        <w:tab/>
      </w:r>
      <w:proofErr w:type="gramStart"/>
      <w:r w:rsidRPr="0016406A">
        <w:rPr>
          <w:i/>
        </w:rPr>
        <w:t>Application of Southwestern Electric Power Company for Authority to Revise Fixed Fuel Factors and to Implement an Interim Fuel Surcharge</w:t>
      </w:r>
      <w:r w:rsidRPr="00733145">
        <w:t>, Docket No. 44701</w:t>
      </w:r>
      <w:r>
        <w:t>, Final Order</w:t>
      </w:r>
      <w:r w:rsidRPr="00733145">
        <w:t xml:space="preserve"> (Jul. 30, 2015).</w:t>
      </w:r>
      <w:proofErr w:type="gramEnd"/>
    </w:p>
  </w:footnote>
  <w:footnote w:id="437">
    <w:p w14:paraId="0F1FBF37" w14:textId="77777777" w:rsidR="00BF1EC4" w:rsidRPr="00733145" w:rsidRDefault="00BF1EC4" w:rsidP="001649C1">
      <w:pPr>
        <w:pStyle w:val="FootnoteText"/>
      </w:pPr>
      <w:r w:rsidRPr="00733145">
        <w:rPr>
          <w:rStyle w:val="FootnoteReference"/>
        </w:rPr>
        <w:footnoteRef/>
      </w:r>
      <w:r w:rsidRPr="00733145">
        <w:t xml:space="preserve"> </w:t>
      </w:r>
      <w:r>
        <w:tab/>
      </w:r>
      <w:proofErr w:type="gramStart"/>
      <w:r w:rsidRPr="0016406A">
        <w:rPr>
          <w:i/>
        </w:rPr>
        <w:t>Application of Southwestern Electric Power Company for Approval to Amend Transmission Cost Recovery Factor</w:t>
      </w:r>
      <w:r w:rsidRPr="00733145">
        <w:t>, Docket No. 45691</w:t>
      </w:r>
      <w:r>
        <w:t>, Final Order</w:t>
      </w:r>
      <w:r w:rsidRPr="00733145">
        <w:t xml:space="preserve"> (Sept. 23, 2016).</w:t>
      </w:r>
      <w:proofErr w:type="gramEnd"/>
    </w:p>
  </w:footnote>
  <w:footnote w:id="438">
    <w:p w14:paraId="4FF75F52" w14:textId="77777777" w:rsidR="00BF1EC4" w:rsidRPr="00733145" w:rsidRDefault="00BF1EC4" w:rsidP="001649C1">
      <w:pPr>
        <w:pStyle w:val="FootnoteText"/>
      </w:pPr>
      <w:r w:rsidRPr="00733145">
        <w:rPr>
          <w:rStyle w:val="FootnoteReference"/>
        </w:rPr>
        <w:footnoteRef/>
      </w:r>
      <w:r w:rsidRPr="00733145">
        <w:t xml:space="preserve"> </w:t>
      </w:r>
      <w:r>
        <w:tab/>
      </w:r>
      <w:proofErr w:type="gramStart"/>
      <w:r w:rsidRPr="0016406A">
        <w:rPr>
          <w:i/>
        </w:rPr>
        <w:t>Application of Southwestern Electric Power Company for Approval to Amend Transmission Cost Recovery Factor</w:t>
      </w:r>
      <w:r w:rsidRPr="00733145">
        <w:t>, Docket No. 44496 (Jul. 30, 2015).</w:t>
      </w:r>
      <w:proofErr w:type="gramEnd"/>
    </w:p>
  </w:footnote>
  <w:footnote w:id="439">
    <w:p w14:paraId="6010AB6C" w14:textId="77777777" w:rsidR="00BF1EC4" w:rsidRPr="00733145" w:rsidRDefault="00BF1EC4" w:rsidP="001649C1">
      <w:pPr>
        <w:pStyle w:val="FootnoteText"/>
      </w:pPr>
      <w:r w:rsidRPr="00733145">
        <w:rPr>
          <w:rStyle w:val="FootnoteReference"/>
        </w:rPr>
        <w:footnoteRef/>
      </w:r>
      <w:r w:rsidRPr="00733145">
        <w:t xml:space="preserve"> </w:t>
      </w:r>
      <w:r>
        <w:tab/>
        <w:t>SWEPCO Ex. 52</w:t>
      </w:r>
      <w:r w:rsidRPr="00733145">
        <w:t xml:space="preserve"> at 58.</w:t>
      </w:r>
    </w:p>
  </w:footnote>
  <w:footnote w:id="440">
    <w:p w14:paraId="7A8D37E1" w14:textId="77777777" w:rsidR="00BF1EC4" w:rsidRPr="00733145" w:rsidRDefault="00BF1EC4" w:rsidP="001649C1">
      <w:pPr>
        <w:pStyle w:val="FootnoteText"/>
      </w:pPr>
      <w:r w:rsidRPr="00733145">
        <w:rPr>
          <w:rStyle w:val="FootnoteReference"/>
        </w:rPr>
        <w:footnoteRef/>
      </w:r>
      <w:r w:rsidRPr="00733145">
        <w:t xml:space="preserve"> </w:t>
      </w:r>
      <w:r>
        <w:tab/>
      </w:r>
      <w:proofErr w:type="gramStart"/>
      <w:r>
        <w:t>TIEC Exceptions at 17</w:t>
      </w:r>
      <w:r w:rsidRPr="00733145">
        <w:t>.</w:t>
      </w:r>
      <w:proofErr w:type="gramEnd"/>
    </w:p>
  </w:footnote>
  <w:footnote w:id="441">
    <w:p w14:paraId="16A5B74A" w14:textId="77777777" w:rsidR="00BF1EC4" w:rsidRDefault="00BF1EC4" w:rsidP="001649C1">
      <w:pPr>
        <w:pStyle w:val="FootnoteText"/>
      </w:pPr>
      <w:r>
        <w:rPr>
          <w:rStyle w:val="FootnoteReference"/>
        </w:rPr>
        <w:footnoteRef/>
      </w:r>
      <w:r>
        <w:t xml:space="preserve"> </w:t>
      </w:r>
      <w:r>
        <w:tab/>
        <w:t xml:space="preserve">Docket Nos. </w:t>
      </w:r>
      <w:r w:rsidRPr="005B7937">
        <w:t>39708, 38614, 37772, 37162, and 40443, as well as expenses associated with Docket No.</w:t>
      </w:r>
      <w:r>
        <w:t> </w:t>
      </w:r>
      <w:r w:rsidRPr="005B7937">
        <w:t>42370 itself.</w:t>
      </w:r>
    </w:p>
  </w:footnote>
  <w:footnote w:id="442">
    <w:p w14:paraId="6E7551CB" w14:textId="77777777" w:rsidR="00BF1EC4" w:rsidRPr="00733145" w:rsidRDefault="00BF1EC4" w:rsidP="001649C1">
      <w:pPr>
        <w:pStyle w:val="FootnoteText"/>
      </w:pPr>
      <w:r w:rsidRPr="00733145">
        <w:rPr>
          <w:rStyle w:val="FootnoteReference"/>
        </w:rPr>
        <w:footnoteRef/>
      </w:r>
      <w:r w:rsidRPr="00733145">
        <w:t xml:space="preserve"> </w:t>
      </w:r>
      <w:r>
        <w:tab/>
        <w:t>SWEPCO Ex. 52</w:t>
      </w:r>
      <w:r w:rsidRPr="00733145">
        <w:t xml:space="preserve"> at 54.</w:t>
      </w:r>
    </w:p>
  </w:footnote>
  <w:footnote w:id="443">
    <w:p w14:paraId="25CFD6A1" w14:textId="77777777" w:rsidR="00BF1EC4" w:rsidRDefault="00BF1EC4" w:rsidP="001649C1">
      <w:pPr>
        <w:pStyle w:val="FootnoteText"/>
      </w:pPr>
      <w:r>
        <w:rPr>
          <w:rStyle w:val="FootnoteReference"/>
        </w:rPr>
        <w:footnoteRef/>
      </w:r>
      <w:r>
        <w:t xml:space="preserve"> </w:t>
      </w:r>
      <w:r>
        <w:tab/>
      </w:r>
      <w:proofErr w:type="gramStart"/>
      <w:r>
        <w:t>TIEC Exceptions at 17.</w:t>
      </w:r>
      <w:proofErr w:type="gramEnd"/>
    </w:p>
  </w:footnote>
  <w:footnote w:id="444">
    <w:p w14:paraId="316997F6" w14:textId="77777777" w:rsidR="00BF1EC4" w:rsidRDefault="00BF1EC4" w:rsidP="00007CE9">
      <w:pPr>
        <w:pStyle w:val="FootnoteText"/>
        <w:keepNext/>
        <w:keepLines/>
      </w:pPr>
      <w:r>
        <w:rPr>
          <w:rStyle w:val="FootnoteReference"/>
        </w:rPr>
        <w:footnoteRef/>
      </w:r>
      <w:r>
        <w:t xml:space="preserve"> </w:t>
      </w:r>
      <w:r>
        <w:tab/>
      </w:r>
      <w:r>
        <w:rPr>
          <w:i/>
        </w:rPr>
        <w:t xml:space="preserve">Application of Southwestern Electric Power Company for Reconciliation of Fuel Costs, </w:t>
      </w:r>
      <w:r>
        <w:t xml:space="preserve">Docket No. 22744, Application (Jun. 30, 2000); </w:t>
      </w:r>
      <w:r>
        <w:rPr>
          <w:i/>
        </w:rPr>
        <w:t>Application of Southwestern Electric Power Company for Reconciliation of Fuel Costs,</w:t>
      </w:r>
      <w:r>
        <w:t xml:space="preserve"> Docket No. 28045, Application (Jun. 30, 2003); </w:t>
      </w:r>
      <w:r>
        <w:rPr>
          <w:i/>
        </w:rPr>
        <w:t xml:space="preserve">Application of Southwestern Electric Power Company for Authority to Reconcile Fuel Costs, </w:t>
      </w:r>
      <w:r>
        <w:t xml:space="preserve">Docket No. 32898, Application (Jun. 30, 2006); </w:t>
      </w:r>
      <w:r>
        <w:rPr>
          <w:i/>
        </w:rPr>
        <w:t xml:space="preserve">Application of Southwestern Electric Power Company for Authority to Reconcile Fuel Costs, </w:t>
      </w:r>
      <w:r>
        <w:t xml:space="preserve">Docket No. 37162, Application (Jun. 30, 2009) Docket No. 40443, Application (Jul. 27, 2012); Docket No. 42527, Application (Jun. 4, 2014); </w:t>
      </w:r>
      <w:r>
        <w:rPr>
          <w:i/>
        </w:rPr>
        <w:t xml:space="preserve">Application of Southwestern Electric Power Company for Authority to Reconcile Fuel Costs, </w:t>
      </w:r>
      <w:r>
        <w:t>Docket No. 47553, Application (Aug. 28, 2017).</w:t>
      </w:r>
    </w:p>
  </w:footnote>
  <w:footnote w:id="445">
    <w:p w14:paraId="3AF7780F" w14:textId="77777777" w:rsidR="00BF1EC4" w:rsidRDefault="00BF1EC4" w:rsidP="001649C1">
      <w:pPr>
        <w:pStyle w:val="FootnoteText"/>
      </w:pPr>
      <w:r>
        <w:rPr>
          <w:rStyle w:val="FootnoteReference"/>
        </w:rPr>
        <w:footnoteRef/>
      </w:r>
      <w:r>
        <w:t xml:space="preserve"> </w:t>
      </w:r>
      <w:r>
        <w:tab/>
        <w:t>SWEPCO Ex. 52 at 59.</w:t>
      </w:r>
    </w:p>
  </w:footnote>
  <w:footnote w:id="446">
    <w:p w14:paraId="42C59A10" w14:textId="77777777" w:rsidR="00BF1EC4" w:rsidRDefault="00BF1EC4" w:rsidP="001649C1">
      <w:pPr>
        <w:pStyle w:val="FootnoteText"/>
      </w:pPr>
      <w:r>
        <w:rPr>
          <w:rStyle w:val="FootnoteReference"/>
        </w:rPr>
        <w:footnoteRef/>
      </w:r>
      <w:r>
        <w:t xml:space="preserve"> </w:t>
      </w:r>
      <w:r>
        <w:tab/>
        <w:t>Emphasis added.</w:t>
      </w:r>
    </w:p>
  </w:footnote>
  <w:footnote w:id="447">
    <w:p w14:paraId="31B41DA6" w14:textId="77777777" w:rsidR="00BF1EC4" w:rsidRPr="00733145" w:rsidRDefault="00BF1EC4" w:rsidP="001649C1">
      <w:pPr>
        <w:pStyle w:val="FootnoteText"/>
      </w:pPr>
      <w:r w:rsidRPr="00733145">
        <w:rPr>
          <w:rStyle w:val="FootnoteReference"/>
        </w:rPr>
        <w:footnoteRef/>
      </w:r>
      <w:r w:rsidRPr="00733145">
        <w:t xml:space="preserve"> </w:t>
      </w:r>
      <w:r>
        <w:tab/>
      </w:r>
      <w:r w:rsidRPr="00733145">
        <w:t>Tr. at 1030</w:t>
      </w:r>
      <w:r>
        <w:t>:11-23</w:t>
      </w:r>
      <w:r w:rsidRPr="00733145">
        <w:t xml:space="preserve"> (Stark Cross)</w:t>
      </w:r>
      <w:r>
        <w:t xml:space="preserve"> (June 9, 2017)</w:t>
      </w:r>
      <w:r w:rsidRPr="00733145">
        <w:t>.</w:t>
      </w:r>
    </w:p>
  </w:footnote>
  <w:footnote w:id="448">
    <w:p w14:paraId="65E227DE" w14:textId="77777777" w:rsidR="00BF1EC4" w:rsidRDefault="00BF1EC4" w:rsidP="001649C1">
      <w:pPr>
        <w:pStyle w:val="FootnoteText"/>
      </w:pPr>
      <w:r>
        <w:rPr>
          <w:rStyle w:val="FootnoteReference"/>
        </w:rPr>
        <w:footnoteRef/>
      </w:r>
      <w:r>
        <w:t xml:space="preserve"> </w:t>
      </w:r>
      <w:r>
        <w:tab/>
      </w:r>
      <w:proofErr w:type="gramStart"/>
      <w:r>
        <w:t>TIEC Exceptions at 18.</w:t>
      </w:r>
      <w:proofErr w:type="gramEnd"/>
    </w:p>
  </w:footnote>
  <w:footnote w:id="449">
    <w:p w14:paraId="30206330" w14:textId="77777777" w:rsidR="00BF1EC4" w:rsidRDefault="00BF1EC4" w:rsidP="00361007">
      <w:pPr>
        <w:pStyle w:val="FootnoteText"/>
      </w:pPr>
      <w:r>
        <w:rPr>
          <w:rStyle w:val="FootnoteReference"/>
        </w:rPr>
        <w:footnoteRef/>
      </w:r>
      <w:r>
        <w:t xml:space="preserve"> </w:t>
      </w:r>
      <w:r>
        <w:tab/>
        <w:t>PURA § 36.061 (b</w:t>
      </w:r>
      <w:proofErr w:type="gramStart"/>
      <w:r>
        <w:t>)(</w:t>
      </w:r>
      <w:proofErr w:type="gramEnd"/>
      <w:r>
        <w:t>2).</w:t>
      </w:r>
    </w:p>
  </w:footnote>
  <w:footnote w:id="450">
    <w:p w14:paraId="658A05B9" w14:textId="77777777" w:rsidR="00BF1EC4" w:rsidRDefault="00BF1EC4" w:rsidP="001649C1">
      <w:pPr>
        <w:pStyle w:val="FootnoteText"/>
      </w:pPr>
      <w:r>
        <w:rPr>
          <w:rStyle w:val="FootnoteReference"/>
        </w:rPr>
        <w:footnoteRef/>
      </w:r>
      <w:r>
        <w:t xml:space="preserve"> </w:t>
      </w:r>
      <w:r>
        <w:tab/>
        <w:t>Docket No. 42370, PFD at 37-35 (May 8, 2015).</w:t>
      </w:r>
    </w:p>
  </w:footnote>
  <w:footnote w:id="451">
    <w:p w14:paraId="7B0A6983" w14:textId="77777777" w:rsidR="00BF1EC4" w:rsidRDefault="00BF1EC4" w:rsidP="001B0B67">
      <w:pPr>
        <w:pStyle w:val="FootnoteText"/>
      </w:pPr>
      <w:r>
        <w:rPr>
          <w:rStyle w:val="FootnoteReference"/>
        </w:rPr>
        <w:footnoteRef/>
      </w:r>
      <w:r>
        <w:t xml:space="preserve"> </w:t>
      </w:r>
      <w:r>
        <w:tab/>
        <w:t>SWEPCO Ex. 52 at 68.</w:t>
      </w:r>
    </w:p>
  </w:footnote>
  <w:footnote w:id="452">
    <w:p w14:paraId="597EC897" w14:textId="77777777" w:rsidR="00BF1EC4" w:rsidRPr="00961006" w:rsidRDefault="00BF1EC4" w:rsidP="00146384">
      <w:pPr>
        <w:pStyle w:val="FootnoteText"/>
      </w:pPr>
      <w:r w:rsidRPr="00961006">
        <w:rPr>
          <w:rStyle w:val="FootnoteReference"/>
        </w:rPr>
        <w:footnoteRef/>
      </w:r>
      <w:r w:rsidRPr="00961006">
        <w:t xml:space="preserve"> </w:t>
      </w:r>
      <w:r>
        <w:tab/>
        <w:t>SWEPCO Ex. 52</w:t>
      </w:r>
      <w:r w:rsidRPr="00961006">
        <w:t xml:space="preserve"> at 69.</w:t>
      </w:r>
    </w:p>
  </w:footnote>
  <w:footnote w:id="453">
    <w:p w14:paraId="6FE22863" w14:textId="77777777" w:rsidR="00BF1EC4" w:rsidRDefault="00BF1EC4" w:rsidP="00146384">
      <w:pPr>
        <w:pStyle w:val="FootnoteText"/>
      </w:pPr>
      <w:r>
        <w:rPr>
          <w:rStyle w:val="FootnoteReference"/>
        </w:rPr>
        <w:footnoteRef/>
      </w:r>
      <w:r>
        <w:t xml:space="preserve"> </w:t>
      </w:r>
      <w:r>
        <w:tab/>
      </w:r>
      <w:proofErr w:type="gramStart"/>
      <w:r>
        <w:t>SWEPCO’s response to Staff 20-3, Staff Ex. 17.</w:t>
      </w:r>
      <w:proofErr w:type="gramEnd"/>
    </w:p>
  </w:footnote>
  <w:footnote w:id="454">
    <w:p w14:paraId="52344E82" w14:textId="77777777" w:rsidR="00BF1EC4" w:rsidRDefault="00BF1EC4" w:rsidP="00146384">
      <w:pPr>
        <w:pStyle w:val="FootnoteText"/>
      </w:pPr>
      <w:r>
        <w:rPr>
          <w:rStyle w:val="FootnoteReference"/>
        </w:rPr>
        <w:footnoteRef/>
      </w:r>
      <w:r>
        <w:t xml:space="preserve"> </w:t>
      </w:r>
      <w:r>
        <w:tab/>
      </w:r>
      <w:proofErr w:type="gramStart"/>
      <w:r>
        <w:t>PFD at 295.</w:t>
      </w:r>
      <w:proofErr w:type="gramEnd"/>
    </w:p>
  </w:footnote>
  <w:footnote w:id="455">
    <w:p w14:paraId="3BB4A453" w14:textId="77777777" w:rsidR="00BF1EC4" w:rsidRDefault="00BF1EC4" w:rsidP="00146384">
      <w:pPr>
        <w:pStyle w:val="FootnoteText"/>
      </w:pPr>
      <w:r>
        <w:rPr>
          <w:rStyle w:val="FootnoteReference"/>
        </w:rPr>
        <w:footnoteRef/>
      </w:r>
      <w:r>
        <w:t xml:space="preserve"> </w:t>
      </w:r>
      <w:r>
        <w:tab/>
      </w:r>
      <w:proofErr w:type="gramStart"/>
      <w:r>
        <w:t>Staff Exceptions at 13.</w:t>
      </w:r>
      <w:proofErr w:type="gramEnd"/>
    </w:p>
  </w:footnote>
  <w:footnote w:id="456">
    <w:p w14:paraId="1C10C87D" w14:textId="77777777" w:rsidR="00BF1EC4" w:rsidRDefault="00BF1EC4" w:rsidP="00146384">
      <w:pPr>
        <w:pStyle w:val="FootnoteText"/>
      </w:pPr>
      <w:r>
        <w:rPr>
          <w:rStyle w:val="FootnoteReference"/>
        </w:rPr>
        <w:footnoteRef/>
      </w:r>
      <w:r>
        <w:t xml:space="preserve"> </w:t>
      </w:r>
      <w:r>
        <w:tab/>
      </w:r>
      <w:proofErr w:type="gramStart"/>
      <w:r>
        <w:rPr>
          <w:i/>
        </w:rPr>
        <w:t xml:space="preserve">E.g., </w:t>
      </w:r>
      <w:r>
        <w:t>Staff Ex. 4 at 20, 21, 22, and 23; PFD at 291.</w:t>
      </w:r>
      <w:proofErr w:type="gramEnd"/>
    </w:p>
  </w:footnote>
  <w:footnote w:id="457">
    <w:p w14:paraId="4AE83010" w14:textId="77777777" w:rsidR="00BF1EC4" w:rsidRDefault="00BF1EC4" w:rsidP="00146384">
      <w:pPr>
        <w:pStyle w:val="FootnoteText"/>
      </w:pPr>
      <w:r>
        <w:rPr>
          <w:rStyle w:val="FootnoteReference"/>
        </w:rPr>
        <w:footnoteRef/>
      </w:r>
      <w:r>
        <w:t xml:space="preserve"> </w:t>
      </w:r>
      <w:r>
        <w:tab/>
      </w:r>
      <w:proofErr w:type="gramStart"/>
      <w:r>
        <w:t>Staff Exceptions at 17.</w:t>
      </w:r>
      <w:proofErr w:type="gramEnd"/>
    </w:p>
  </w:footnote>
  <w:footnote w:id="458">
    <w:p w14:paraId="4888A8AF" w14:textId="77777777" w:rsidR="00BF1EC4" w:rsidRPr="00961006" w:rsidRDefault="00BF1EC4" w:rsidP="00146384">
      <w:pPr>
        <w:pStyle w:val="FootnoteText"/>
      </w:pPr>
      <w:r w:rsidRPr="00961006">
        <w:rPr>
          <w:rStyle w:val="FootnoteReference"/>
        </w:rPr>
        <w:footnoteRef/>
      </w:r>
      <w:r w:rsidRPr="00961006">
        <w:t xml:space="preserve"> </w:t>
      </w:r>
      <w:r>
        <w:tab/>
        <w:t>SWEPCO Ex. 52</w:t>
      </w:r>
      <w:r w:rsidRPr="00961006">
        <w:t xml:space="preserve"> at 70.</w:t>
      </w:r>
    </w:p>
  </w:footnote>
  <w:footnote w:id="459">
    <w:p w14:paraId="3DBC175E" w14:textId="77777777" w:rsidR="00BF1EC4" w:rsidRPr="00961006" w:rsidRDefault="00BF1EC4" w:rsidP="00146384">
      <w:pPr>
        <w:pStyle w:val="FootnoteText"/>
      </w:pPr>
      <w:r w:rsidRPr="00961006">
        <w:rPr>
          <w:rStyle w:val="FootnoteReference"/>
        </w:rPr>
        <w:footnoteRef/>
      </w:r>
      <w:r w:rsidRPr="00961006">
        <w:t xml:space="preserve"> </w:t>
      </w:r>
      <w:r>
        <w:tab/>
        <w:t>SWEPCO Ex. 52</w:t>
      </w:r>
      <w:r w:rsidRPr="00961006">
        <w:t xml:space="preserve"> at 71.</w:t>
      </w:r>
    </w:p>
  </w:footnote>
  <w:footnote w:id="460">
    <w:p w14:paraId="73D94A29" w14:textId="77777777" w:rsidR="00BF1EC4" w:rsidRPr="00E32E01" w:rsidRDefault="00BF1EC4" w:rsidP="00146384">
      <w:pPr>
        <w:pStyle w:val="FootnoteText"/>
      </w:pPr>
      <w:r>
        <w:rPr>
          <w:rStyle w:val="FootnoteReference"/>
        </w:rPr>
        <w:footnoteRef/>
      </w:r>
      <w:r>
        <w:t xml:space="preserve"> </w:t>
      </w:r>
      <w:r>
        <w:tab/>
      </w:r>
      <w:r>
        <w:rPr>
          <w:i/>
        </w:rPr>
        <w:t xml:space="preserve">See </w:t>
      </w:r>
      <w:r>
        <w:t>Staff Initial Brief at 44.</w:t>
      </w:r>
    </w:p>
  </w:footnote>
  <w:footnote w:id="461">
    <w:p w14:paraId="71FEFF00" w14:textId="77777777" w:rsidR="00BF1EC4" w:rsidRPr="00961006" w:rsidRDefault="00BF1EC4" w:rsidP="00146384">
      <w:pPr>
        <w:pStyle w:val="FootnoteText"/>
      </w:pPr>
      <w:r w:rsidRPr="00961006">
        <w:rPr>
          <w:rStyle w:val="FootnoteReference"/>
        </w:rPr>
        <w:footnoteRef/>
      </w:r>
      <w:r w:rsidRPr="00961006">
        <w:t xml:space="preserve"> </w:t>
      </w:r>
      <w:r>
        <w:tab/>
        <w:t xml:space="preserve">SWEPCO Ex. 52 </w:t>
      </w:r>
      <w:r w:rsidRPr="00961006">
        <w:t>at 71.</w:t>
      </w:r>
    </w:p>
  </w:footnote>
  <w:footnote w:id="462">
    <w:p w14:paraId="5E89A9CB" w14:textId="77777777" w:rsidR="00BF1EC4" w:rsidRDefault="00BF1EC4" w:rsidP="00146384">
      <w:pPr>
        <w:pStyle w:val="FootnoteText"/>
      </w:pPr>
      <w:r>
        <w:rPr>
          <w:rStyle w:val="FootnoteReference"/>
        </w:rPr>
        <w:footnoteRef/>
      </w:r>
      <w:r>
        <w:t xml:space="preserve"> </w:t>
      </w:r>
      <w:r>
        <w:tab/>
      </w:r>
      <w:proofErr w:type="gramStart"/>
      <w:r>
        <w:t>Staff Initial Brief at 45; Staff Exceptions at 14 (“If an effective rate is used in one part of the calculation, it should be uniformly used in the other part of the calculation.</w:t>
      </w:r>
      <w:proofErr w:type="gramEnd"/>
      <w:r>
        <w:t xml:space="preserve">  The effective capitalization rate for </w:t>
      </w:r>
      <w:r>
        <w:rPr>
          <w:b/>
        </w:rPr>
        <w:t xml:space="preserve">tax year </w:t>
      </w:r>
      <w:r>
        <w:t>2015 was 4.8122%.</w:t>
      </w:r>
      <w:r>
        <w:rPr>
          <w:b/>
        </w:rPr>
        <w:t xml:space="preserve">” </w:t>
      </w:r>
      <w:r>
        <w:t>(emphasis in original)).</w:t>
      </w:r>
    </w:p>
  </w:footnote>
  <w:footnote w:id="463">
    <w:p w14:paraId="6243C841" w14:textId="77777777" w:rsidR="00BF1EC4" w:rsidRPr="00961006" w:rsidRDefault="00BF1EC4" w:rsidP="00146384">
      <w:pPr>
        <w:pStyle w:val="FootnoteText"/>
      </w:pPr>
      <w:r w:rsidRPr="00961006">
        <w:rPr>
          <w:rStyle w:val="FootnoteReference"/>
        </w:rPr>
        <w:footnoteRef/>
      </w:r>
      <w:r w:rsidRPr="00961006">
        <w:t xml:space="preserve"> </w:t>
      </w:r>
      <w:r>
        <w:tab/>
        <w:t xml:space="preserve">SWEPCO Ex. 52 </w:t>
      </w:r>
      <w:r w:rsidRPr="00961006">
        <w:t>at 72.</w:t>
      </w:r>
    </w:p>
  </w:footnote>
  <w:footnote w:id="464">
    <w:p w14:paraId="5D665AF3" w14:textId="77777777" w:rsidR="00BF1EC4" w:rsidRPr="00570A45" w:rsidRDefault="00BF1EC4" w:rsidP="004B6A12">
      <w:pPr>
        <w:pStyle w:val="FootnoteText"/>
      </w:pPr>
      <w:r w:rsidRPr="00570A45">
        <w:rPr>
          <w:rStyle w:val="FootnoteReference"/>
        </w:rPr>
        <w:footnoteRef/>
      </w:r>
      <w:r w:rsidRPr="00570A45">
        <w:t xml:space="preserve"> </w:t>
      </w:r>
      <w:r>
        <w:tab/>
      </w:r>
      <w:r w:rsidRPr="00570A45">
        <w:rPr>
          <w:i/>
        </w:rPr>
        <w:t xml:space="preserve">See </w:t>
      </w:r>
      <w:r>
        <w:t xml:space="preserve">Rebuttal Testimony of John O. Aaron, </w:t>
      </w:r>
      <w:r w:rsidRPr="00570A45">
        <w:t>SWEPCO Ex. 40 at 20-21.</w:t>
      </w:r>
    </w:p>
  </w:footnote>
  <w:footnote w:id="465">
    <w:p w14:paraId="3ABC075A" w14:textId="77777777" w:rsidR="00BF1EC4" w:rsidRDefault="00BF1EC4" w:rsidP="004B6A12">
      <w:pPr>
        <w:pStyle w:val="FootnoteText"/>
      </w:pPr>
      <w:r w:rsidRPr="009E57EE">
        <w:rPr>
          <w:rStyle w:val="FootnoteReference"/>
        </w:rPr>
        <w:footnoteRef/>
      </w:r>
      <w:r w:rsidRPr="009E57EE">
        <w:t xml:space="preserve"> </w:t>
      </w:r>
      <w:r>
        <w:tab/>
      </w:r>
      <w:proofErr w:type="gramStart"/>
      <w:r w:rsidRPr="009E57EE">
        <w:t>Wal</w:t>
      </w:r>
      <w:r>
        <w:t>-M</w:t>
      </w:r>
      <w:r w:rsidRPr="009E57EE">
        <w:t>art Initial Brief at 6.</w:t>
      </w:r>
      <w:proofErr w:type="gramEnd"/>
    </w:p>
  </w:footnote>
  <w:footnote w:id="466">
    <w:p w14:paraId="5A72D0D3" w14:textId="77777777" w:rsidR="00BF1EC4" w:rsidRPr="00227B4A" w:rsidRDefault="00BF1EC4" w:rsidP="004B6A12">
      <w:pPr>
        <w:pStyle w:val="FootnoteText"/>
      </w:pPr>
      <w:r w:rsidRPr="00227B4A">
        <w:rPr>
          <w:rStyle w:val="FootnoteReference"/>
        </w:rPr>
        <w:footnoteRef/>
      </w:r>
      <w:r w:rsidRPr="00227B4A">
        <w:t xml:space="preserve"> </w:t>
      </w:r>
      <w:r>
        <w:tab/>
        <w:t>PFD at 356; s</w:t>
      </w:r>
      <w:r>
        <w:rPr>
          <w:i/>
        </w:rPr>
        <w:t xml:space="preserve">ee </w:t>
      </w:r>
      <w:r>
        <w:t xml:space="preserve">SWEPCO Ex. 40 at 23; Direct Testimony of William Abbott, </w:t>
      </w:r>
      <w:r w:rsidRPr="001620CE">
        <w:t xml:space="preserve">Staff Ex. 1A at </w:t>
      </w:r>
      <w:r>
        <w:t>9</w:t>
      </w:r>
      <w:r w:rsidRPr="001620CE">
        <w:t>.</w:t>
      </w:r>
    </w:p>
  </w:footnote>
  <w:footnote w:id="467">
    <w:p w14:paraId="01C21349" w14:textId="77777777" w:rsidR="00BF1EC4" w:rsidRPr="00E26F3C" w:rsidRDefault="00BF1EC4" w:rsidP="004B6A12">
      <w:pPr>
        <w:pStyle w:val="FootnoteText"/>
      </w:pPr>
      <w:r w:rsidRPr="00E26F3C">
        <w:rPr>
          <w:rStyle w:val="FootnoteReference"/>
        </w:rPr>
        <w:footnoteRef/>
      </w:r>
      <w:r w:rsidRPr="00E26F3C">
        <w:t xml:space="preserve"> </w:t>
      </w:r>
      <w:r>
        <w:tab/>
      </w:r>
      <w:proofErr w:type="gramStart"/>
      <w:r>
        <w:t>PFD at 356; SWEPCO</w:t>
      </w:r>
      <w:r w:rsidRPr="00E26F3C">
        <w:t xml:space="preserve"> Ex. 40 at 20.</w:t>
      </w:r>
      <w:proofErr w:type="gramEnd"/>
    </w:p>
  </w:footnote>
  <w:footnote w:id="468">
    <w:p w14:paraId="0D6A88D3" w14:textId="77777777" w:rsidR="00BF1EC4" w:rsidRPr="00FA3432" w:rsidRDefault="00BF1EC4" w:rsidP="004B6A12">
      <w:pPr>
        <w:pStyle w:val="FootnoteText"/>
      </w:pPr>
      <w:r w:rsidRPr="00717565">
        <w:rPr>
          <w:rStyle w:val="FootnoteReference"/>
        </w:rPr>
        <w:footnoteRef/>
      </w:r>
      <w:r w:rsidRPr="00717565">
        <w:t xml:space="preserve"> </w:t>
      </w:r>
      <w:r>
        <w:tab/>
      </w:r>
      <w:r>
        <w:rPr>
          <w:i/>
        </w:rPr>
        <w:t xml:space="preserve">See </w:t>
      </w:r>
      <w:r>
        <w:t xml:space="preserve">PFD at 358; </w:t>
      </w:r>
      <w:r w:rsidRPr="00717565">
        <w:t>Tr. at 1436:18</w:t>
      </w:r>
      <w:r>
        <w:t>-</w:t>
      </w:r>
      <w:r w:rsidRPr="00717565">
        <w:t xml:space="preserve">1438:18 (Aaron Redirect) (June 12, 2017). </w:t>
      </w:r>
    </w:p>
  </w:footnote>
  <w:footnote w:id="469">
    <w:p w14:paraId="4B0FCE10" w14:textId="77777777" w:rsidR="00BF1EC4" w:rsidRDefault="00BF1EC4" w:rsidP="004B6A12">
      <w:pPr>
        <w:pStyle w:val="FootnoteText"/>
      </w:pPr>
      <w:r>
        <w:rPr>
          <w:rStyle w:val="FootnoteReference"/>
        </w:rPr>
        <w:footnoteRef/>
      </w:r>
      <w:r>
        <w:t xml:space="preserve"> </w:t>
      </w:r>
      <w:r>
        <w:tab/>
      </w:r>
      <w:proofErr w:type="gramStart"/>
      <w:r>
        <w:t>PFD at 341.</w:t>
      </w:r>
      <w:proofErr w:type="gramEnd"/>
    </w:p>
  </w:footnote>
  <w:footnote w:id="470">
    <w:p w14:paraId="38610A43" w14:textId="77777777" w:rsidR="00BF1EC4" w:rsidRDefault="00BF1EC4" w:rsidP="004B6A12">
      <w:pPr>
        <w:pStyle w:val="FootnoteText"/>
      </w:pPr>
      <w:r>
        <w:rPr>
          <w:rStyle w:val="FootnoteReference"/>
        </w:rPr>
        <w:footnoteRef/>
      </w:r>
      <w:r>
        <w:t xml:space="preserve"> </w:t>
      </w:r>
      <w:r>
        <w:tab/>
        <w:t>Staff Exceptions at 20-21.</w:t>
      </w:r>
    </w:p>
  </w:footnote>
  <w:footnote w:id="471">
    <w:p w14:paraId="7DD38CFE" w14:textId="77777777" w:rsidR="00BF1EC4" w:rsidRDefault="00BF1EC4" w:rsidP="004B6A12">
      <w:pPr>
        <w:pStyle w:val="FootnoteText"/>
      </w:pPr>
      <w:r w:rsidRPr="00FA3432">
        <w:rPr>
          <w:rStyle w:val="FootnoteReference"/>
        </w:rPr>
        <w:footnoteRef/>
      </w:r>
      <w:r w:rsidRPr="00FA3432">
        <w:t xml:space="preserve"> </w:t>
      </w:r>
      <w:r>
        <w:tab/>
        <w:t>SWEPCO Ex. 40 at 22.</w:t>
      </w:r>
    </w:p>
  </w:footnote>
  <w:footnote w:id="472">
    <w:p w14:paraId="37D4F89D" w14:textId="77777777" w:rsidR="00BF1EC4" w:rsidRPr="00227B4A" w:rsidRDefault="00BF1EC4" w:rsidP="004B6A12">
      <w:pPr>
        <w:pStyle w:val="FootnoteText"/>
      </w:pPr>
      <w:r w:rsidRPr="00227B4A">
        <w:rPr>
          <w:rStyle w:val="FootnoteReference"/>
        </w:rPr>
        <w:footnoteRef/>
      </w:r>
      <w:r w:rsidRPr="00227B4A">
        <w:t xml:space="preserve"> </w:t>
      </w:r>
      <w:r>
        <w:tab/>
      </w:r>
      <w:r w:rsidRPr="00227B4A">
        <w:rPr>
          <w:i/>
        </w:rPr>
        <w:t xml:space="preserve">See </w:t>
      </w:r>
      <w:r w:rsidRPr="00227B4A">
        <w:t>Staff Ex. 1A at</w:t>
      </w:r>
      <w:r>
        <w:t xml:space="preserve"> Errata Attachment</w:t>
      </w:r>
      <w:r w:rsidRPr="00227B4A">
        <w:t xml:space="preserve"> WBA-2.  For Lighting and Power Secondary and Oilfield, compare the columns labeled “Staff Increase at Cost” and “Staff Proposed Increase.”</w:t>
      </w:r>
    </w:p>
  </w:footnote>
  <w:footnote w:id="473">
    <w:p w14:paraId="0052811F" w14:textId="77777777" w:rsidR="00BF1EC4" w:rsidRDefault="00BF1EC4" w:rsidP="004B6A12">
      <w:pPr>
        <w:pStyle w:val="FootnoteText"/>
      </w:pPr>
      <w:r>
        <w:rPr>
          <w:rStyle w:val="FootnoteReference"/>
        </w:rPr>
        <w:footnoteRef/>
      </w:r>
      <w:r>
        <w:t xml:space="preserve"> </w:t>
      </w:r>
      <w:r>
        <w:tab/>
        <w:t>Table 2 is reproduced in the PFD at 339.  Direct Testimony of Shawnna G. Jones, SWEPCO Ex. 39 at 13 (Company witness John Aaron adopted Ms. Jones’ testimony).</w:t>
      </w:r>
    </w:p>
  </w:footnote>
  <w:footnote w:id="474">
    <w:p w14:paraId="78302CD1" w14:textId="77777777" w:rsidR="00BF1EC4" w:rsidRDefault="00BF1EC4" w:rsidP="004B6A12">
      <w:pPr>
        <w:pStyle w:val="FootnoteText"/>
      </w:pPr>
      <w:r>
        <w:rPr>
          <w:rStyle w:val="FootnoteReference"/>
        </w:rPr>
        <w:footnoteRef/>
      </w:r>
      <w:r>
        <w:t xml:space="preserve"> </w:t>
      </w:r>
      <w:r>
        <w:tab/>
        <w:t>Staff Exceptions at 23-24.</w:t>
      </w:r>
    </w:p>
  </w:footnote>
  <w:footnote w:id="475">
    <w:p w14:paraId="6B3454B9" w14:textId="77777777" w:rsidR="00BF1EC4" w:rsidRDefault="00BF1EC4" w:rsidP="004B6A12">
      <w:pPr>
        <w:pStyle w:val="FootnoteText"/>
      </w:pPr>
      <w:r>
        <w:rPr>
          <w:rStyle w:val="FootnoteReference"/>
        </w:rPr>
        <w:footnoteRef/>
      </w:r>
      <w:r>
        <w:t xml:space="preserve"> </w:t>
      </w:r>
      <w:r>
        <w:tab/>
      </w:r>
      <w:proofErr w:type="gramStart"/>
      <w:r>
        <w:t>ETSWD Exceptions at 5.</w:t>
      </w:r>
      <w:proofErr w:type="gramEnd"/>
    </w:p>
  </w:footnote>
  <w:footnote w:id="476">
    <w:p w14:paraId="51A31C97" w14:textId="77777777" w:rsidR="00BF1EC4" w:rsidRPr="00DF0E40" w:rsidRDefault="00BF1EC4" w:rsidP="004B6A12">
      <w:pPr>
        <w:pStyle w:val="FootnoteText"/>
      </w:pPr>
      <w:r>
        <w:rPr>
          <w:rStyle w:val="FootnoteReference"/>
        </w:rPr>
        <w:footnoteRef/>
      </w:r>
      <w:r>
        <w:t xml:space="preserve"> </w:t>
      </w:r>
      <w:r>
        <w:tab/>
      </w:r>
      <w:r>
        <w:rPr>
          <w:i/>
        </w:rPr>
        <w:t>Id.</w:t>
      </w:r>
    </w:p>
  </w:footnote>
  <w:footnote w:id="477">
    <w:p w14:paraId="798CAF88" w14:textId="77777777" w:rsidR="00BF1EC4" w:rsidRDefault="00BF1EC4" w:rsidP="00EF0F1B">
      <w:pPr>
        <w:pStyle w:val="FootnoteText"/>
      </w:pPr>
      <w:r>
        <w:rPr>
          <w:rStyle w:val="FootnoteReference"/>
        </w:rPr>
        <w:footnoteRef/>
      </w:r>
      <w:r>
        <w:t xml:space="preserve"> </w:t>
      </w:r>
      <w:r>
        <w:tab/>
      </w:r>
      <w:proofErr w:type="gramStart"/>
      <w:r>
        <w:t>CARD Exceptions at 47.</w:t>
      </w:r>
      <w:proofErr w:type="gramEnd"/>
    </w:p>
  </w:footnote>
  <w:footnote w:id="478">
    <w:p w14:paraId="2536FD14" w14:textId="77777777" w:rsidR="00BF1EC4" w:rsidRDefault="00BF1EC4" w:rsidP="00216958">
      <w:pPr>
        <w:pStyle w:val="FootnoteText"/>
      </w:pPr>
      <w:r>
        <w:rPr>
          <w:rStyle w:val="FootnoteReference"/>
        </w:rPr>
        <w:footnoteRef/>
      </w:r>
      <w:r>
        <w:t xml:space="preserve"> </w:t>
      </w:r>
      <w:r>
        <w:tab/>
        <w:t xml:space="preserve">SWEPCO witness Aaron and CARD witness Johnson explain why the revenue distribution should be determined based to total base rate revenues, rather than the revenues net of the reduction to the TCRF and DCRF riders.  SWEPCO Ex. 40 at 21; CARD Ex. 8 at 2. </w:t>
      </w:r>
    </w:p>
  </w:footnote>
  <w:footnote w:id="479">
    <w:p w14:paraId="4997A7BB" w14:textId="77777777" w:rsidR="00BF1EC4" w:rsidRDefault="00BF1EC4" w:rsidP="004B6A12">
      <w:pPr>
        <w:pStyle w:val="FootnoteText"/>
      </w:pPr>
      <w:r>
        <w:rPr>
          <w:rStyle w:val="FootnoteReference"/>
        </w:rPr>
        <w:footnoteRef/>
      </w:r>
      <w:r>
        <w:t xml:space="preserve"> </w:t>
      </w:r>
      <w:r>
        <w:tab/>
        <w:t>SWEPCO Ex. 40 at 19.</w:t>
      </w:r>
    </w:p>
  </w:footnote>
  <w:footnote w:id="480">
    <w:p w14:paraId="5A0A8500" w14:textId="77777777" w:rsidR="00BF1EC4" w:rsidRDefault="00BF1EC4" w:rsidP="004B6A12">
      <w:pPr>
        <w:pStyle w:val="FootnoteText"/>
      </w:pPr>
      <w:r>
        <w:rPr>
          <w:rStyle w:val="FootnoteReference"/>
        </w:rPr>
        <w:footnoteRef/>
      </w:r>
      <w:r>
        <w:t xml:space="preserve"> </w:t>
      </w:r>
      <w:r>
        <w:tab/>
        <w:t>This is confirmed by the chart shown on p. 2 of ETSWD’s Exceptions, which show a variety of gradualism approaches taken by the Commission over time, in the context of a variety of different rate case circumstances and outcomes.</w:t>
      </w:r>
    </w:p>
  </w:footnote>
  <w:footnote w:id="481">
    <w:p w14:paraId="609D498F" w14:textId="77777777" w:rsidR="00BF1EC4" w:rsidRDefault="00BF1EC4" w:rsidP="004B6A12">
      <w:pPr>
        <w:pStyle w:val="FootnoteText"/>
      </w:pPr>
      <w:r>
        <w:rPr>
          <w:rStyle w:val="FootnoteReference"/>
        </w:rPr>
        <w:footnoteRef/>
      </w:r>
      <w:r>
        <w:t xml:space="preserve"> </w:t>
      </w:r>
      <w:r>
        <w:tab/>
        <w:t>CARD Exceptions at 46-47.</w:t>
      </w:r>
    </w:p>
  </w:footnote>
  <w:footnote w:id="482">
    <w:p w14:paraId="0D1BD6C2" w14:textId="77777777" w:rsidR="00BF1EC4" w:rsidRDefault="00BF1EC4" w:rsidP="004B6A12">
      <w:pPr>
        <w:pStyle w:val="FootnoteText"/>
      </w:pPr>
      <w:r>
        <w:rPr>
          <w:rStyle w:val="FootnoteReference"/>
        </w:rPr>
        <w:footnoteRef/>
      </w:r>
      <w:r>
        <w:t xml:space="preserve"> </w:t>
      </w:r>
      <w:r>
        <w:tab/>
      </w:r>
      <w:proofErr w:type="gramStart"/>
      <w:r>
        <w:t>ETSWD Exceptions at 2.</w:t>
      </w:r>
      <w:proofErr w:type="gramEnd"/>
    </w:p>
  </w:footnote>
  <w:footnote w:id="483">
    <w:p w14:paraId="000A81DC" w14:textId="77777777" w:rsidR="00BF1EC4" w:rsidRDefault="00BF1EC4" w:rsidP="004B6A12">
      <w:pPr>
        <w:pStyle w:val="FootnoteText"/>
      </w:pPr>
      <w:r>
        <w:rPr>
          <w:rStyle w:val="FootnoteReference"/>
        </w:rPr>
        <w:footnoteRef/>
      </w:r>
      <w:r>
        <w:t xml:space="preserve"> </w:t>
      </w:r>
      <w:r>
        <w:tab/>
        <w:t>TIEC Exceptions at 22-23.</w:t>
      </w:r>
    </w:p>
  </w:footnote>
  <w:footnote w:id="484">
    <w:p w14:paraId="2E247CEF" w14:textId="77777777" w:rsidR="00BF1EC4" w:rsidRPr="0057022D" w:rsidRDefault="00BF1EC4" w:rsidP="004B6A12">
      <w:pPr>
        <w:pStyle w:val="FootnoteText"/>
      </w:pPr>
      <w:r>
        <w:rPr>
          <w:rStyle w:val="FootnoteReference"/>
        </w:rPr>
        <w:footnoteRef/>
      </w:r>
      <w:r>
        <w:t xml:space="preserve"> </w:t>
      </w:r>
      <w:r>
        <w:tab/>
      </w:r>
      <w:r>
        <w:rPr>
          <w:i/>
        </w:rPr>
        <w:t xml:space="preserve">See, e.g., </w:t>
      </w:r>
      <w:r>
        <w:t>Docket No. 43695, Order on Rehearing at FoF 335A (size of rate increase affects determination of need for gradualism) (Feb. 23, 2016).</w:t>
      </w:r>
    </w:p>
  </w:footnote>
  <w:footnote w:id="485">
    <w:p w14:paraId="48D9B684" w14:textId="77777777" w:rsidR="00BF1EC4" w:rsidRDefault="00BF1EC4" w:rsidP="004B6A12">
      <w:pPr>
        <w:pStyle w:val="FootnoteText"/>
      </w:pPr>
      <w:r>
        <w:rPr>
          <w:rStyle w:val="FootnoteReference"/>
        </w:rPr>
        <w:footnoteRef/>
      </w:r>
      <w:r>
        <w:t xml:space="preserve"> </w:t>
      </w:r>
      <w:r>
        <w:tab/>
        <w:t>Staff Exceptions at 17-18.</w:t>
      </w:r>
    </w:p>
  </w:footnote>
  <w:footnote w:id="486">
    <w:p w14:paraId="633BB753" w14:textId="77777777" w:rsidR="00BF1EC4" w:rsidRDefault="00BF1EC4" w:rsidP="004B6A12">
      <w:pPr>
        <w:pStyle w:val="FootnoteText"/>
      </w:pPr>
      <w:r>
        <w:rPr>
          <w:rStyle w:val="FootnoteReference"/>
        </w:rPr>
        <w:footnoteRef/>
      </w:r>
      <w:r>
        <w:t xml:space="preserve"> </w:t>
      </w:r>
      <w:r>
        <w:tab/>
        <w:t>SWEPCO Ex. 40 at 23-24.</w:t>
      </w:r>
    </w:p>
  </w:footnote>
  <w:footnote w:id="487">
    <w:p w14:paraId="04F4CF09" w14:textId="77777777" w:rsidR="00BF1EC4" w:rsidRDefault="00BF1EC4" w:rsidP="004B6A12">
      <w:pPr>
        <w:pStyle w:val="FootnoteText"/>
      </w:pPr>
      <w:r>
        <w:rPr>
          <w:rStyle w:val="FootnoteReference"/>
        </w:rPr>
        <w:footnoteRef/>
      </w:r>
      <w:r>
        <w:t xml:space="preserve"> </w:t>
      </w:r>
      <w:r>
        <w:tab/>
        <w:t xml:space="preserve">PFD at 358-359.  </w:t>
      </w:r>
    </w:p>
  </w:footnote>
  <w:footnote w:id="488">
    <w:p w14:paraId="3EB7449E" w14:textId="77777777" w:rsidR="00BF1EC4" w:rsidRDefault="00BF1EC4" w:rsidP="004B6A12">
      <w:pPr>
        <w:pStyle w:val="FootnoteText"/>
      </w:pPr>
      <w:r>
        <w:rPr>
          <w:rStyle w:val="FootnoteReference"/>
        </w:rPr>
        <w:footnoteRef/>
      </w:r>
      <w:r>
        <w:t xml:space="preserve"> </w:t>
      </w:r>
      <w:r>
        <w:tab/>
        <w:t>Docket No. 40443, PFD at 268 (May 20, 2013).</w:t>
      </w:r>
    </w:p>
  </w:footnote>
  <w:footnote w:id="489">
    <w:p w14:paraId="17D02BA8" w14:textId="77777777" w:rsidR="00BF1EC4" w:rsidRDefault="00BF1EC4" w:rsidP="004B6A12">
      <w:pPr>
        <w:pStyle w:val="FootnoteText"/>
      </w:pPr>
      <w:r>
        <w:rPr>
          <w:rStyle w:val="FootnoteReference"/>
        </w:rPr>
        <w:footnoteRef/>
      </w:r>
      <w:r>
        <w:t xml:space="preserve"> </w:t>
      </w:r>
      <w:r>
        <w:tab/>
      </w:r>
      <w:proofErr w:type="gramStart"/>
      <w:r>
        <w:t>PFD at 345.</w:t>
      </w:r>
      <w:proofErr w:type="gramEnd"/>
    </w:p>
  </w:footnote>
  <w:footnote w:id="490">
    <w:p w14:paraId="28277FBC" w14:textId="77777777" w:rsidR="00BF1EC4" w:rsidRDefault="00BF1EC4" w:rsidP="004B6A12">
      <w:pPr>
        <w:pStyle w:val="FootnoteText"/>
      </w:pPr>
      <w:r>
        <w:rPr>
          <w:rStyle w:val="FootnoteReference"/>
        </w:rPr>
        <w:footnoteRef/>
      </w:r>
      <w:r>
        <w:t xml:space="preserve"> </w:t>
      </w:r>
      <w:r>
        <w:tab/>
      </w:r>
      <w:proofErr w:type="gramStart"/>
      <w:r>
        <w:t>Staff Exceptions at 23.</w:t>
      </w:r>
      <w:proofErr w:type="gramEnd"/>
    </w:p>
  </w:footnote>
  <w:footnote w:id="491">
    <w:p w14:paraId="0E5C0F84" w14:textId="77777777" w:rsidR="00BF1EC4" w:rsidRDefault="00BF1EC4" w:rsidP="004B6A12">
      <w:pPr>
        <w:pStyle w:val="FootnoteText"/>
      </w:pPr>
      <w:r>
        <w:rPr>
          <w:rStyle w:val="FootnoteReference"/>
        </w:rPr>
        <w:footnoteRef/>
      </w:r>
      <w:r>
        <w:t xml:space="preserve"> </w:t>
      </w:r>
      <w:r>
        <w:tab/>
        <w:t xml:space="preserve">TIEC continues to promote its grouping resulting in 13 classes, while it agrees with SWEPCO and the PFD that Staff’s approach of 20 classes is too granular.  TIEC, however, </w:t>
      </w:r>
      <w:r>
        <w:rPr>
          <w:szCs w:val="24"/>
        </w:rPr>
        <w:t xml:space="preserve">acknowledges that SWEPCO’s presentation of class cost data was accepted in Docket No. 40443, and the Commission found the Company’s grouping of the customer classes into larger major groupings for purposes of assessing the revenue distribution mitigated concerns with having few customers in a particular class.  </w:t>
      </w:r>
      <w:r w:rsidRPr="00BD61D5">
        <w:t xml:space="preserve">TIEC Initial Brief at </w:t>
      </w:r>
      <w:r>
        <w:t xml:space="preserve">81; </w:t>
      </w:r>
      <w:r w:rsidRPr="00BD61D5">
        <w:t>Docket No. 40443,</w:t>
      </w:r>
      <w:r>
        <w:t xml:space="preserve"> Order on Rehearing at </w:t>
      </w:r>
      <w:r w:rsidRPr="00BD61D5">
        <w:t>FoF 287-290</w:t>
      </w:r>
      <w:r>
        <w:t xml:space="preserve"> (Mar. 6, 2014)</w:t>
      </w:r>
      <w:r w:rsidRPr="00BD61D5">
        <w:t>.</w:t>
      </w:r>
    </w:p>
  </w:footnote>
  <w:footnote w:id="492">
    <w:p w14:paraId="7CCBE19D" w14:textId="77777777" w:rsidR="00BF1EC4" w:rsidRDefault="00BF1EC4" w:rsidP="004B6A12">
      <w:pPr>
        <w:pStyle w:val="FootnoteText"/>
      </w:pPr>
      <w:r>
        <w:rPr>
          <w:rStyle w:val="FootnoteReference"/>
        </w:rPr>
        <w:footnoteRef/>
      </w:r>
      <w:r>
        <w:t xml:space="preserve"> </w:t>
      </w:r>
      <w:r>
        <w:tab/>
      </w:r>
      <w:proofErr w:type="gramStart"/>
      <w:r>
        <w:t>PFD at 341, 343.</w:t>
      </w:r>
      <w:proofErr w:type="gramEnd"/>
    </w:p>
  </w:footnote>
  <w:footnote w:id="493">
    <w:p w14:paraId="349B39C0" w14:textId="77777777" w:rsidR="00BF1EC4" w:rsidRDefault="00BF1EC4" w:rsidP="004B6A12">
      <w:pPr>
        <w:pStyle w:val="FootnoteText"/>
      </w:pPr>
      <w:r>
        <w:rPr>
          <w:rStyle w:val="FootnoteReference"/>
        </w:rPr>
        <w:footnoteRef/>
      </w:r>
      <w:r>
        <w:t xml:space="preserve"> </w:t>
      </w:r>
      <w:r>
        <w:tab/>
        <w:t>Docket No. 40443, Order on Rehearing at FoF 287 (Mar. 6, 2014).</w:t>
      </w:r>
    </w:p>
  </w:footnote>
  <w:footnote w:id="494">
    <w:p w14:paraId="42033C03" w14:textId="77777777" w:rsidR="00BF1EC4" w:rsidRDefault="00BF1EC4" w:rsidP="004B6A12">
      <w:pPr>
        <w:pStyle w:val="FootnoteText"/>
      </w:pPr>
      <w:r>
        <w:rPr>
          <w:rStyle w:val="FootnoteReference"/>
        </w:rPr>
        <w:footnoteRef/>
      </w:r>
      <w:r>
        <w:t xml:space="preserve"> </w:t>
      </w:r>
      <w:r>
        <w:tab/>
      </w:r>
      <w:proofErr w:type="gramStart"/>
      <w:r>
        <w:t>PFD at 345.</w:t>
      </w:r>
      <w:proofErr w:type="gramEnd"/>
    </w:p>
  </w:footnote>
  <w:footnote w:id="495">
    <w:p w14:paraId="112220F3" w14:textId="77777777" w:rsidR="00BF1EC4" w:rsidRPr="001964EF" w:rsidRDefault="00BF1EC4" w:rsidP="004B6A12">
      <w:pPr>
        <w:pStyle w:val="FootnoteText"/>
        <w:rPr>
          <w:i/>
        </w:rPr>
      </w:pPr>
      <w:r>
        <w:rPr>
          <w:rStyle w:val="FootnoteReference"/>
        </w:rPr>
        <w:footnoteRef/>
      </w:r>
      <w:r>
        <w:t xml:space="preserve"> </w:t>
      </w:r>
      <w:r>
        <w:tab/>
      </w:r>
      <w:r>
        <w:rPr>
          <w:i/>
        </w:rPr>
        <w:t>Id.</w:t>
      </w:r>
    </w:p>
  </w:footnote>
  <w:footnote w:id="496">
    <w:p w14:paraId="6556C64B" w14:textId="77777777" w:rsidR="00BF1EC4" w:rsidRDefault="00BF1EC4" w:rsidP="004B6A12">
      <w:pPr>
        <w:pStyle w:val="FootnoteText"/>
      </w:pPr>
      <w:r>
        <w:rPr>
          <w:rStyle w:val="FootnoteReference"/>
        </w:rPr>
        <w:footnoteRef/>
      </w:r>
      <w:r>
        <w:t xml:space="preserve"> </w:t>
      </w:r>
      <w:r>
        <w:tab/>
        <w:t>Docket No. 40443, Order on Rehearing at FoF 288 (Mar. 6, 2014).</w:t>
      </w:r>
    </w:p>
  </w:footnote>
  <w:footnote w:id="497">
    <w:p w14:paraId="4D02180B" w14:textId="77777777" w:rsidR="00BF1EC4" w:rsidRDefault="00BF1EC4" w:rsidP="004B6A12">
      <w:pPr>
        <w:pStyle w:val="FootnoteText"/>
      </w:pPr>
      <w:r>
        <w:rPr>
          <w:rStyle w:val="FootnoteReference"/>
        </w:rPr>
        <w:footnoteRef/>
      </w:r>
      <w:r>
        <w:t xml:space="preserve"> </w:t>
      </w:r>
      <w:r>
        <w:tab/>
        <w:t>Docket No. 43695, PFD at 271 (Oct. 12, 2015).</w:t>
      </w:r>
    </w:p>
  </w:footnote>
  <w:footnote w:id="498">
    <w:p w14:paraId="64612DF1" w14:textId="77777777" w:rsidR="00BF1EC4" w:rsidRPr="00D42248" w:rsidRDefault="00BF1EC4" w:rsidP="004B6A12">
      <w:pPr>
        <w:pStyle w:val="FootnoteText"/>
      </w:pPr>
      <w:r>
        <w:rPr>
          <w:rStyle w:val="FootnoteReference"/>
        </w:rPr>
        <w:footnoteRef/>
      </w:r>
      <w:r>
        <w:t xml:space="preserve"> </w:t>
      </w:r>
      <w:r>
        <w:tab/>
      </w:r>
      <w:proofErr w:type="gramStart"/>
      <w:r>
        <w:rPr>
          <w:i/>
        </w:rPr>
        <w:t xml:space="preserve">Id. </w:t>
      </w:r>
      <w:r>
        <w:t>at 267.</w:t>
      </w:r>
      <w:proofErr w:type="gramEnd"/>
    </w:p>
  </w:footnote>
  <w:footnote w:id="499">
    <w:p w14:paraId="7F2C6F7B" w14:textId="77777777" w:rsidR="00BF1EC4" w:rsidRPr="00C9110A" w:rsidRDefault="00BF1EC4" w:rsidP="004B6A12">
      <w:pPr>
        <w:pStyle w:val="FootnoteText"/>
      </w:pPr>
      <w:r>
        <w:rPr>
          <w:rStyle w:val="FootnoteReference"/>
        </w:rPr>
        <w:footnoteRef/>
      </w:r>
      <w:r>
        <w:t xml:space="preserve"> </w:t>
      </w:r>
      <w:r>
        <w:tab/>
      </w:r>
      <w:r>
        <w:rPr>
          <w:i/>
        </w:rPr>
        <w:t xml:space="preserve">Id. </w:t>
      </w:r>
      <w:r>
        <w:t>at 283-284 (adopting SPS proposed 12 classes); Docket No. 43695, Order on Rehearing at 14 (adopting SPS’ classes, but finding they were 11, not 12 in number) (Feb. 23, 2016).</w:t>
      </w:r>
    </w:p>
  </w:footnote>
  <w:footnote w:id="500">
    <w:p w14:paraId="66BDC854" w14:textId="77777777" w:rsidR="00BF1EC4" w:rsidRDefault="00BF1EC4" w:rsidP="004B6A12">
      <w:pPr>
        <w:pStyle w:val="FootnoteText"/>
      </w:pPr>
      <w:r>
        <w:rPr>
          <w:rStyle w:val="FootnoteReference"/>
        </w:rPr>
        <w:footnoteRef/>
      </w:r>
      <w:r>
        <w:t xml:space="preserve"> </w:t>
      </w:r>
      <w:r>
        <w:tab/>
        <w:t>16 TAC § 25.242(g</w:t>
      </w:r>
      <w:proofErr w:type="gramStart"/>
      <w:r>
        <w:t>)(</w:t>
      </w:r>
      <w:proofErr w:type="gramEnd"/>
      <w:r>
        <w:t xml:space="preserve">2); </w:t>
      </w:r>
      <w:r>
        <w:rPr>
          <w:i/>
        </w:rPr>
        <w:t>s</w:t>
      </w:r>
      <w:r w:rsidRPr="004F53A2">
        <w:rPr>
          <w:i/>
        </w:rPr>
        <w:t>ee also</w:t>
      </w:r>
      <w:r>
        <w:t xml:space="preserve"> SWEPCO Ex. 39 at 23; SWEPCO Ex. 40 at 15-16.</w:t>
      </w:r>
    </w:p>
  </w:footnote>
  <w:footnote w:id="501">
    <w:p w14:paraId="19BB2818" w14:textId="77777777" w:rsidR="00BF1EC4" w:rsidRDefault="00BF1EC4" w:rsidP="004B6A12">
      <w:pPr>
        <w:pStyle w:val="FootnoteText"/>
      </w:pPr>
      <w:r>
        <w:rPr>
          <w:rStyle w:val="FootnoteReference"/>
        </w:rPr>
        <w:footnoteRef/>
      </w:r>
      <w:r>
        <w:t xml:space="preserve"> </w:t>
      </w:r>
      <w:r>
        <w:tab/>
        <w:t>SWEPCO Ex. 40 at 15.</w:t>
      </w:r>
    </w:p>
  </w:footnote>
  <w:footnote w:id="502">
    <w:p w14:paraId="3BFDD193" w14:textId="77777777" w:rsidR="00BF1EC4" w:rsidRPr="001600B0" w:rsidRDefault="00BF1EC4" w:rsidP="004B6A12">
      <w:pPr>
        <w:pStyle w:val="FootnoteText"/>
      </w:pPr>
      <w:r>
        <w:rPr>
          <w:rStyle w:val="FootnoteReference"/>
        </w:rPr>
        <w:footnoteRef/>
      </w:r>
      <w:r>
        <w:t xml:space="preserve"> </w:t>
      </w:r>
      <w:r>
        <w:tab/>
      </w:r>
      <w:r>
        <w:rPr>
          <w:i/>
        </w:rPr>
        <w:t>PUC Rulemaking Relating to Net Metering and Interconnection of Distributed Generation</w:t>
      </w:r>
      <w:r>
        <w:t>, Project No. 34890, Order Adopting New § 25.217 and Amendment to § 25.242 at 1 (Dec. 22, 2008).</w:t>
      </w:r>
    </w:p>
  </w:footnote>
  <w:footnote w:id="503">
    <w:p w14:paraId="135DB85E" w14:textId="77777777" w:rsidR="00BF1EC4" w:rsidRPr="001C0D68" w:rsidRDefault="00BF1EC4" w:rsidP="004B6A12">
      <w:pPr>
        <w:pStyle w:val="FootnoteText"/>
      </w:pPr>
      <w:r>
        <w:rPr>
          <w:rStyle w:val="FootnoteReference"/>
        </w:rPr>
        <w:footnoteRef/>
      </w:r>
      <w:r>
        <w:t xml:space="preserve"> </w:t>
      </w:r>
      <w:r>
        <w:tab/>
      </w:r>
      <w:proofErr w:type="gramStart"/>
      <w:r w:rsidRPr="00103A9A">
        <w:rPr>
          <w:i/>
        </w:rPr>
        <w:t>Id</w:t>
      </w:r>
      <w:r>
        <w:t>. at 4.</w:t>
      </w:r>
      <w:proofErr w:type="gramEnd"/>
    </w:p>
  </w:footnote>
  <w:footnote w:id="504">
    <w:p w14:paraId="0D7697F6" w14:textId="77777777" w:rsidR="00BF1EC4" w:rsidRDefault="00BF1EC4" w:rsidP="004B6A12">
      <w:pPr>
        <w:pStyle w:val="FootnoteText"/>
      </w:pPr>
      <w:r>
        <w:rPr>
          <w:rStyle w:val="FootnoteReference"/>
        </w:rPr>
        <w:footnoteRef/>
      </w:r>
      <w:r>
        <w:t xml:space="preserve"> </w:t>
      </w:r>
      <w:r>
        <w:tab/>
      </w:r>
      <w:r w:rsidRPr="00103A9A">
        <w:rPr>
          <w:i/>
        </w:rPr>
        <w:t>Id</w:t>
      </w:r>
      <w:r>
        <w:t>. at 12 and 15-16.</w:t>
      </w:r>
    </w:p>
  </w:footnote>
  <w:footnote w:id="505">
    <w:p w14:paraId="19B0797C" w14:textId="77777777" w:rsidR="00BF1EC4" w:rsidRDefault="00BF1EC4" w:rsidP="004B6A12">
      <w:pPr>
        <w:pStyle w:val="FootnoteText"/>
      </w:pPr>
      <w:r>
        <w:rPr>
          <w:rStyle w:val="FootnoteReference"/>
        </w:rPr>
        <w:footnoteRef/>
      </w:r>
      <w:r>
        <w:t xml:space="preserve"> </w:t>
      </w:r>
      <w:r>
        <w:tab/>
      </w:r>
      <w:r>
        <w:rPr>
          <w:i/>
        </w:rPr>
        <w:t>Rulemaking to Implement SB 365 &amp; SB 981 Relating to Distributed Generation</w:t>
      </w:r>
      <w:r>
        <w:t>, Project No. 39797, Order Adopting Amendments to § 25.211 and § 25.217 at 25 (May 24, 2012).</w:t>
      </w:r>
    </w:p>
  </w:footnote>
  <w:footnote w:id="506">
    <w:p w14:paraId="2231379B" w14:textId="77777777" w:rsidR="00BF1EC4" w:rsidRDefault="00BF1EC4" w:rsidP="004B6A12">
      <w:pPr>
        <w:pStyle w:val="FootnoteText"/>
      </w:pPr>
      <w:r>
        <w:rPr>
          <w:rStyle w:val="FootnoteReference"/>
        </w:rPr>
        <w:footnoteRef/>
      </w:r>
      <w:r>
        <w:t xml:space="preserve"> </w:t>
      </w:r>
      <w:r>
        <w:tab/>
        <w:t>SWEPCO Ex. 1C, Schedule Q 8.8 at 119.</w:t>
      </w:r>
    </w:p>
  </w:footnote>
  <w:footnote w:id="507">
    <w:p w14:paraId="552EF991" w14:textId="77777777" w:rsidR="00BF1EC4" w:rsidRDefault="00BF1EC4" w:rsidP="004B6A12">
      <w:pPr>
        <w:pStyle w:val="FootnoteText"/>
      </w:pPr>
      <w:r>
        <w:rPr>
          <w:rStyle w:val="FootnoteReference"/>
        </w:rPr>
        <w:footnoteRef/>
      </w:r>
      <w:r>
        <w:t xml:space="preserve"> </w:t>
      </w:r>
      <w:r>
        <w:tab/>
      </w:r>
      <w:proofErr w:type="gramStart"/>
      <w:r>
        <w:t>PFD at 364.</w:t>
      </w:r>
      <w:proofErr w:type="gramEnd"/>
    </w:p>
  </w:footnote>
  <w:footnote w:id="508">
    <w:p w14:paraId="06291BBA" w14:textId="77777777" w:rsidR="00BF1EC4" w:rsidRDefault="00BF1EC4" w:rsidP="004F0331">
      <w:pPr>
        <w:pStyle w:val="FootnoteText"/>
      </w:pPr>
      <w:r>
        <w:rPr>
          <w:rStyle w:val="FootnoteReference"/>
        </w:rPr>
        <w:footnoteRef/>
      </w:r>
      <w:r>
        <w:t xml:space="preserve"> </w:t>
      </w:r>
      <w:r>
        <w:tab/>
        <w:t>16 TAC § 25.217 (f</w:t>
      </w:r>
      <w:proofErr w:type="gramStart"/>
      <w:r>
        <w:t>)(</w:t>
      </w:r>
      <w:proofErr w:type="gramEnd"/>
      <w:r>
        <w:t>1) (emphasis added).</w:t>
      </w:r>
    </w:p>
  </w:footnote>
  <w:footnote w:id="509">
    <w:p w14:paraId="72195F32" w14:textId="77777777" w:rsidR="00BF1EC4" w:rsidRDefault="00BF1EC4" w:rsidP="004B6A12">
      <w:pPr>
        <w:pStyle w:val="FootnoteText"/>
      </w:pPr>
      <w:r>
        <w:rPr>
          <w:rStyle w:val="FootnoteReference"/>
        </w:rPr>
        <w:footnoteRef/>
      </w:r>
      <w:r>
        <w:t xml:space="preserve"> </w:t>
      </w:r>
      <w:r>
        <w:tab/>
        <w:t xml:space="preserve">OPUC Exceptions at 64-65.  </w:t>
      </w:r>
    </w:p>
  </w:footnote>
  <w:footnote w:id="510">
    <w:p w14:paraId="5265FCF2" w14:textId="77777777" w:rsidR="00BF1EC4" w:rsidRDefault="00BF1EC4" w:rsidP="004B6A12">
      <w:pPr>
        <w:pStyle w:val="FootnoteText"/>
      </w:pPr>
      <w:r>
        <w:rPr>
          <w:rStyle w:val="FootnoteReference"/>
        </w:rPr>
        <w:footnoteRef/>
      </w:r>
      <w:r>
        <w:t xml:space="preserve"> </w:t>
      </w:r>
      <w:r>
        <w:tab/>
      </w:r>
      <w:r>
        <w:rPr>
          <w:i/>
        </w:rPr>
        <w:t xml:space="preserve">Petition of Southwestern Electric Power Co. for Approval of Net Metering </w:t>
      </w:r>
      <w:r w:rsidRPr="00222461">
        <w:rPr>
          <w:i/>
        </w:rPr>
        <w:t>Tariff</w:t>
      </w:r>
      <w:r>
        <w:t xml:space="preserve">, </w:t>
      </w:r>
      <w:r w:rsidRPr="00222461">
        <w:rPr>
          <w:i/>
        </w:rPr>
        <w:t>Project</w:t>
      </w:r>
      <w:r>
        <w:t xml:space="preserve"> No. 39508, Notice of Approval (Jul. 15, 2011).</w:t>
      </w:r>
    </w:p>
  </w:footnote>
  <w:footnote w:id="511">
    <w:p w14:paraId="2DA5AC74" w14:textId="77777777" w:rsidR="00BF1EC4" w:rsidRDefault="00BF1EC4" w:rsidP="004B6A12">
      <w:pPr>
        <w:pStyle w:val="FootnoteText"/>
      </w:pPr>
      <w:r>
        <w:rPr>
          <w:rStyle w:val="FootnoteReference"/>
        </w:rPr>
        <w:footnoteRef/>
      </w:r>
      <w:r>
        <w:t xml:space="preserve"> </w:t>
      </w:r>
      <w:r>
        <w:tab/>
        <w:t>SWEPCO Ex. 40 at 18.</w:t>
      </w:r>
    </w:p>
  </w:footnote>
  <w:footnote w:id="512">
    <w:p w14:paraId="47D59E21" w14:textId="77777777" w:rsidR="00BF1EC4" w:rsidRDefault="00BF1EC4" w:rsidP="004B6A12">
      <w:pPr>
        <w:pStyle w:val="FootnoteText"/>
      </w:pPr>
      <w:r>
        <w:rPr>
          <w:rStyle w:val="FootnoteReference"/>
        </w:rPr>
        <w:footnoteRef/>
      </w:r>
      <w:r>
        <w:t xml:space="preserve"> </w:t>
      </w:r>
      <w:r>
        <w:tab/>
        <w:t xml:space="preserve">Staff Exceptions at 25-26.  </w:t>
      </w:r>
    </w:p>
  </w:footnote>
  <w:footnote w:id="513">
    <w:p w14:paraId="69203678" w14:textId="77777777" w:rsidR="00BF1EC4" w:rsidRPr="009A4269" w:rsidRDefault="00BF1EC4" w:rsidP="004B6A12">
      <w:pPr>
        <w:pStyle w:val="FootnoteText"/>
      </w:pPr>
      <w:r>
        <w:rPr>
          <w:rStyle w:val="FootnoteReference"/>
        </w:rPr>
        <w:footnoteRef/>
      </w:r>
      <w:r>
        <w:t xml:space="preserve"> </w:t>
      </w:r>
      <w:r>
        <w:tab/>
      </w:r>
      <w:proofErr w:type="gramStart"/>
      <w:r>
        <w:rPr>
          <w:i/>
        </w:rPr>
        <w:t>E.g.</w:t>
      </w:r>
      <w:r>
        <w:t>, SWEPCO Ex. 39 at 14, 16, 18; SWEPCO Ex. 40 at 27.</w:t>
      </w:r>
      <w:proofErr w:type="gramEnd"/>
      <w:r>
        <w:t xml:space="preserve"> </w:t>
      </w:r>
    </w:p>
  </w:footnote>
  <w:footnote w:id="514">
    <w:p w14:paraId="13D69BAC" w14:textId="77777777" w:rsidR="00BF1EC4" w:rsidRDefault="00BF1EC4" w:rsidP="004B6A12">
      <w:pPr>
        <w:pStyle w:val="FootnoteText"/>
      </w:pPr>
      <w:r>
        <w:rPr>
          <w:rStyle w:val="FootnoteReference"/>
        </w:rPr>
        <w:footnoteRef/>
      </w:r>
      <w:r>
        <w:t xml:space="preserve"> </w:t>
      </w:r>
      <w:r>
        <w:tab/>
      </w:r>
      <w:proofErr w:type="gramStart"/>
      <w:r>
        <w:rPr>
          <w:i/>
        </w:rPr>
        <w:t>E.g.</w:t>
      </w:r>
      <w:r>
        <w:t>, PFD at 368.</w:t>
      </w:r>
      <w:proofErr w:type="gramEnd"/>
    </w:p>
  </w:footnote>
  <w:footnote w:id="515">
    <w:p w14:paraId="2B1ED58D" w14:textId="77777777" w:rsidR="00BF1EC4" w:rsidRPr="009A4269" w:rsidRDefault="00BF1EC4" w:rsidP="004B6A12">
      <w:pPr>
        <w:pStyle w:val="FootnoteText"/>
      </w:pPr>
      <w:r>
        <w:rPr>
          <w:rStyle w:val="FootnoteReference"/>
        </w:rPr>
        <w:footnoteRef/>
      </w:r>
      <w:r>
        <w:t xml:space="preserve"> </w:t>
      </w:r>
      <w:r>
        <w:tab/>
        <w:t>SWEPCO Ex. 39</w:t>
      </w:r>
      <w:r>
        <w:rPr>
          <w:i/>
        </w:rPr>
        <w:t xml:space="preserve"> </w:t>
      </w:r>
      <w:r>
        <w:t>at 12, 15 (residential class moved to cost), 16 (commercial and small industrial customers moved near cost).</w:t>
      </w:r>
    </w:p>
  </w:footnote>
  <w:footnote w:id="516">
    <w:p w14:paraId="58F34150" w14:textId="77777777" w:rsidR="00BF1EC4" w:rsidRDefault="00BF1EC4" w:rsidP="004B6A12">
      <w:pPr>
        <w:pStyle w:val="FootnoteText"/>
      </w:pPr>
      <w:r>
        <w:rPr>
          <w:rStyle w:val="FootnoteReference"/>
        </w:rPr>
        <w:footnoteRef/>
      </w:r>
      <w:r>
        <w:t xml:space="preserve"> </w:t>
      </w:r>
      <w:r>
        <w:tab/>
      </w:r>
      <w:proofErr w:type="gramStart"/>
      <w:r>
        <w:t>SWEPCO’s response to Staff 21-14 and 21-15, Staff Ex. 25.</w:t>
      </w:r>
      <w:proofErr w:type="gramEnd"/>
      <w:r>
        <w:t xml:space="preserve">  The response to Staff 21-14 appears to be truncated, but the same statement is found in full on the response to Staff 21-15, which appears on the next page of the exhibit. </w:t>
      </w:r>
    </w:p>
  </w:footnote>
  <w:footnote w:id="517">
    <w:p w14:paraId="071D71A8" w14:textId="77777777" w:rsidR="00BF1EC4" w:rsidRPr="00A10779" w:rsidRDefault="00BF1EC4" w:rsidP="004B6A12">
      <w:pPr>
        <w:pStyle w:val="FootnoteText"/>
        <w:rPr>
          <w:i/>
        </w:rPr>
      </w:pPr>
      <w:r>
        <w:rPr>
          <w:rStyle w:val="FootnoteReference"/>
        </w:rPr>
        <w:footnoteRef/>
      </w:r>
      <w:r>
        <w:t xml:space="preserve"> </w:t>
      </w:r>
      <w:r>
        <w:tab/>
      </w:r>
      <w:r>
        <w:rPr>
          <w:i/>
        </w:rPr>
        <w:t xml:space="preserve">E.g., </w:t>
      </w:r>
      <w:r>
        <w:t>SWEPCO Ex. 40 at 27-28.</w:t>
      </w:r>
    </w:p>
  </w:footnote>
  <w:footnote w:id="518">
    <w:p w14:paraId="0F9DFA79" w14:textId="77777777" w:rsidR="00BF1EC4" w:rsidRDefault="00BF1EC4" w:rsidP="004B6A12">
      <w:pPr>
        <w:pStyle w:val="FootnoteText"/>
      </w:pPr>
      <w:r>
        <w:rPr>
          <w:rStyle w:val="FootnoteReference"/>
        </w:rPr>
        <w:footnoteRef/>
      </w:r>
      <w:r>
        <w:t xml:space="preserve"> </w:t>
      </w:r>
      <w:r>
        <w:tab/>
        <w:t>PFD at 369-370.</w:t>
      </w:r>
    </w:p>
  </w:footnote>
  <w:footnote w:id="519">
    <w:p w14:paraId="3A9EAF87" w14:textId="77777777" w:rsidR="00BF1EC4" w:rsidRDefault="00BF1EC4" w:rsidP="004B6A12">
      <w:pPr>
        <w:pStyle w:val="FootnoteText"/>
      </w:pPr>
      <w:r>
        <w:rPr>
          <w:rStyle w:val="FootnoteReference"/>
        </w:rPr>
        <w:footnoteRef/>
      </w:r>
      <w:r>
        <w:t xml:space="preserve"> </w:t>
      </w:r>
      <w:r>
        <w:tab/>
        <w:t>SWEPCO Ex. 40 at 27-28.</w:t>
      </w:r>
    </w:p>
  </w:footnote>
  <w:footnote w:id="520">
    <w:p w14:paraId="74C09107" w14:textId="77777777" w:rsidR="00BF1EC4" w:rsidRDefault="00BF1EC4" w:rsidP="004B6A12">
      <w:pPr>
        <w:pStyle w:val="FootnoteText"/>
      </w:pPr>
      <w:r>
        <w:rPr>
          <w:rStyle w:val="FootnoteReference"/>
        </w:rPr>
        <w:footnoteRef/>
      </w:r>
      <w:r>
        <w:t xml:space="preserve"> </w:t>
      </w:r>
      <w:r>
        <w:tab/>
        <w:t>Tr. at 1716:2-1719:25 (Narvaez Cross) (June 13, 2017).</w:t>
      </w:r>
    </w:p>
  </w:footnote>
  <w:footnote w:id="521">
    <w:p w14:paraId="1A88A238" w14:textId="77777777" w:rsidR="00BF1EC4" w:rsidRDefault="00BF1EC4" w:rsidP="004B6A12">
      <w:pPr>
        <w:pStyle w:val="FootnoteText"/>
      </w:pPr>
      <w:r>
        <w:rPr>
          <w:rStyle w:val="FootnoteReference"/>
        </w:rPr>
        <w:footnoteRef/>
      </w:r>
      <w:r>
        <w:t xml:space="preserve"> </w:t>
      </w:r>
      <w:r>
        <w:tab/>
        <w:t>Staff Exceptions at 29-30.</w:t>
      </w:r>
    </w:p>
  </w:footnote>
  <w:footnote w:id="522">
    <w:p w14:paraId="06C40EBF" w14:textId="77777777" w:rsidR="00BF1EC4" w:rsidRDefault="00BF1EC4" w:rsidP="00FF2D37">
      <w:pPr>
        <w:pStyle w:val="FootnoteText"/>
      </w:pPr>
      <w:r>
        <w:rPr>
          <w:rStyle w:val="FootnoteReference"/>
        </w:rPr>
        <w:footnoteRef/>
      </w:r>
      <w:r>
        <w:t xml:space="preserve"> </w:t>
      </w:r>
      <w:r>
        <w:tab/>
      </w:r>
      <w:proofErr w:type="gramStart"/>
      <w:r>
        <w:t>Staff Exceptions at 29.</w:t>
      </w:r>
      <w:proofErr w:type="gramEnd"/>
    </w:p>
  </w:footnote>
  <w:footnote w:id="523">
    <w:p w14:paraId="2A76650B" w14:textId="77777777" w:rsidR="00BF1EC4" w:rsidRPr="00EC3ED5" w:rsidRDefault="00BF1EC4" w:rsidP="004B6A12">
      <w:pPr>
        <w:pStyle w:val="FootnoteText"/>
      </w:pPr>
      <w:r>
        <w:rPr>
          <w:rStyle w:val="FootnoteReference"/>
        </w:rPr>
        <w:footnoteRef/>
      </w:r>
      <w:r>
        <w:t xml:space="preserve"> </w:t>
      </w:r>
      <w:r>
        <w:tab/>
      </w:r>
      <w:r>
        <w:rPr>
          <w:i/>
        </w:rPr>
        <w:t xml:space="preserve">See </w:t>
      </w:r>
      <w:r>
        <w:t>Staff Exceptions at 30 (section depicting Rate Sheet IV-4).</w:t>
      </w:r>
    </w:p>
  </w:footnote>
  <w:footnote w:id="524">
    <w:p w14:paraId="1B0F1E8E" w14:textId="77777777" w:rsidR="00BF1EC4" w:rsidRDefault="00BF1EC4" w:rsidP="004B6A12">
      <w:pPr>
        <w:pStyle w:val="FootnoteText"/>
      </w:pPr>
      <w:r>
        <w:rPr>
          <w:rStyle w:val="FootnoteReference"/>
        </w:rPr>
        <w:footnoteRef/>
      </w:r>
      <w:r>
        <w:t xml:space="preserve"> </w:t>
      </w:r>
      <w:r>
        <w:tab/>
      </w:r>
      <w:proofErr w:type="gramStart"/>
      <w:r>
        <w:t>Staff Exceptions at 33.</w:t>
      </w:r>
      <w:proofErr w:type="gramEnd"/>
    </w:p>
  </w:footnote>
  <w:footnote w:id="525">
    <w:p w14:paraId="2E13F2F9" w14:textId="77777777" w:rsidR="00BF1EC4" w:rsidRDefault="00BF1EC4" w:rsidP="006C4A65">
      <w:pPr>
        <w:pStyle w:val="FootnoteText"/>
        <w:keepNext/>
        <w:keepLines/>
      </w:pPr>
      <w:r>
        <w:rPr>
          <w:rStyle w:val="FootnoteReference"/>
        </w:rPr>
        <w:footnoteRef/>
      </w:r>
      <w:r>
        <w:t xml:space="preserve"> </w:t>
      </w:r>
      <w:r>
        <w:tab/>
      </w:r>
      <w:proofErr w:type="gramStart"/>
      <w:r>
        <w:rPr>
          <w:i/>
        </w:rPr>
        <w:t>See El Paso Electric Co. v. Pub.</w:t>
      </w:r>
      <w:proofErr w:type="gramEnd"/>
      <w:r>
        <w:rPr>
          <w:i/>
        </w:rPr>
        <w:t xml:space="preserve"> Util. Comm’n of Tex.</w:t>
      </w:r>
      <w:r>
        <w:t xml:space="preserve">, 917 S.W.2d 846, 863-864 (Tex. App.—Austin 1995, writ dism’d by agreement) (party seeking to alter status quo re rate design had burden of proof); </w:t>
      </w:r>
      <w:r>
        <w:rPr>
          <w:i/>
        </w:rPr>
        <w:t>Pedernales Elec. Coop v. Pub. Util. Comm’n of Tex.</w:t>
      </w:r>
      <w:r>
        <w:t xml:space="preserve">, 809 S.W.2d 332, 336-337 (customers did not meet their burden of proof of showing that rate should be divided into separate voltage levels); </w:t>
      </w:r>
      <w:r>
        <w:rPr>
          <w:i/>
        </w:rPr>
        <w:t>City of El Paso v. Pub. Util. Comm’n of Tex.</w:t>
      </w:r>
      <w:r>
        <w:t xml:space="preserve">, 839 S.W.2d 895, 932-33 (Tex. App.—Austin 1992, </w:t>
      </w:r>
      <w:r>
        <w:rPr>
          <w:i/>
        </w:rPr>
        <w:t>rev’d in part on other grounds</w:t>
      </w:r>
      <w:r>
        <w:t>, 883 S.W.2d 179 (Tex. 1994) (customer did not meet its burden of proof to demonstrate it should be included in city or county rate class).</w:t>
      </w:r>
    </w:p>
  </w:footnote>
  <w:footnote w:id="526">
    <w:p w14:paraId="4E5CF593" w14:textId="77777777" w:rsidR="00BF1EC4" w:rsidRDefault="00BF1EC4" w:rsidP="004B6A12">
      <w:pPr>
        <w:pStyle w:val="FootnoteText"/>
      </w:pPr>
      <w:r>
        <w:rPr>
          <w:rStyle w:val="FootnoteReference"/>
        </w:rPr>
        <w:footnoteRef/>
      </w:r>
      <w:r>
        <w:t xml:space="preserve"> </w:t>
      </w:r>
      <w:r>
        <w:tab/>
        <w:t>Staff’s electronic workpapers, Staff Ex. 8 at “46449 Swepco Rate Design Final,” at Tab “General Service IV-2,” “Primary Voltage” section, column K, line 33.</w:t>
      </w:r>
    </w:p>
  </w:footnote>
  <w:footnote w:id="527">
    <w:p w14:paraId="5F45EE4E" w14:textId="77777777" w:rsidR="00BF1EC4" w:rsidRPr="00125950" w:rsidRDefault="00BF1EC4" w:rsidP="004B6A12">
      <w:pPr>
        <w:pStyle w:val="FootnoteText"/>
      </w:pPr>
      <w:r>
        <w:rPr>
          <w:rStyle w:val="FootnoteReference"/>
        </w:rPr>
        <w:footnoteRef/>
      </w:r>
      <w:r>
        <w:t xml:space="preserve"> </w:t>
      </w:r>
      <w:r>
        <w:tab/>
      </w:r>
      <w:r>
        <w:rPr>
          <w:i/>
        </w:rPr>
        <w:t xml:space="preserve">See </w:t>
      </w:r>
      <w:r>
        <w:t>Staff Exceptions at 33.</w:t>
      </w:r>
    </w:p>
  </w:footnote>
  <w:footnote w:id="528">
    <w:p w14:paraId="18D40160" w14:textId="77777777" w:rsidR="00BF1EC4" w:rsidRDefault="00BF1EC4" w:rsidP="004B6A12">
      <w:pPr>
        <w:pStyle w:val="FootnoteText"/>
      </w:pPr>
      <w:r>
        <w:rPr>
          <w:rStyle w:val="FootnoteReference"/>
        </w:rPr>
        <w:footnoteRef/>
      </w:r>
      <w:r>
        <w:t xml:space="preserve"> </w:t>
      </w:r>
      <w:r>
        <w:tab/>
        <w:t>SWEPCO Ex. 40 at 31-32.</w:t>
      </w:r>
    </w:p>
  </w:footnote>
  <w:footnote w:id="529">
    <w:p w14:paraId="18458DF4" w14:textId="77777777" w:rsidR="00BF1EC4" w:rsidRPr="003D1DD5" w:rsidRDefault="00BF1EC4" w:rsidP="004B6A12">
      <w:pPr>
        <w:pStyle w:val="FootnoteText"/>
      </w:pPr>
      <w:r>
        <w:rPr>
          <w:rStyle w:val="FootnoteReference"/>
        </w:rPr>
        <w:footnoteRef/>
      </w:r>
      <w:r>
        <w:t xml:space="preserve"> </w:t>
      </w:r>
      <w:r>
        <w:tab/>
      </w:r>
      <w:r>
        <w:rPr>
          <w:i/>
        </w:rPr>
        <w:t xml:space="preserve">See </w:t>
      </w:r>
      <w:r>
        <w:t>Docket No. 40443, Order on Rehearing at FoFs 291-297.</w:t>
      </w:r>
    </w:p>
  </w:footnote>
  <w:footnote w:id="530">
    <w:p w14:paraId="3F638775" w14:textId="77777777" w:rsidR="00BF1EC4" w:rsidRDefault="00BF1EC4" w:rsidP="00B61F67">
      <w:pPr>
        <w:pStyle w:val="FootnoteText"/>
      </w:pPr>
      <w:r>
        <w:rPr>
          <w:rStyle w:val="FootnoteReference"/>
        </w:rPr>
        <w:footnoteRef/>
      </w:r>
      <w:r>
        <w:t xml:space="preserve"> </w:t>
      </w:r>
      <w:r>
        <w:tab/>
      </w:r>
      <w:proofErr w:type="gramStart"/>
      <w:r>
        <w:t>16 TAC § 25.239(f).</w:t>
      </w:r>
      <w:proofErr w:type="gramEnd"/>
    </w:p>
  </w:footnote>
  <w:footnote w:id="531">
    <w:p w14:paraId="685067B9" w14:textId="77777777" w:rsidR="00BF1EC4" w:rsidRPr="003E5E1F" w:rsidRDefault="00BF1EC4" w:rsidP="00B61F67">
      <w:pPr>
        <w:pStyle w:val="FootnoteText"/>
      </w:pPr>
      <w:r w:rsidRPr="003E5E1F">
        <w:rPr>
          <w:rStyle w:val="FootnoteReference"/>
        </w:rPr>
        <w:footnoteRef/>
      </w:r>
      <w:r w:rsidRPr="003E5E1F">
        <w:t xml:space="preserve"> </w:t>
      </w:r>
      <w:r>
        <w:tab/>
      </w:r>
      <w:r w:rsidRPr="003E5E1F">
        <w:t>SWEPCO Ex. 15 at 77</w:t>
      </w:r>
      <w:r>
        <w:t>,</w:t>
      </w:r>
      <w:r w:rsidRPr="003E5E1F">
        <w:t xml:space="preserve"> Exhibit RWH-7</w:t>
      </w:r>
      <w:r>
        <w:t xml:space="preserve"> at 2</w:t>
      </w:r>
      <w:r w:rsidRPr="003E5E1F">
        <w:t>.</w:t>
      </w:r>
    </w:p>
  </w:footnote>
  <w:footnote w:id="532">
    <w:p w14:paraId="6FA80456" w14:textId="77777777" w:rsidR="00BF1EC4" w:rsidRDefault="00BF1EC4" w:rsidP="00B61F67">
      <w:pPr>
        <w:pStyle w:val="FootnoteText"/>
      </w:pPr>
      <w:r>
        <w:rPr>
          <w:rStyle w:val="FootnoteReference"/>
        </w:rPr>
        <w:footnoteRef/>
      </w:r>
      <w:r>
        <w:t xml:space="preserve"> </w:t>
      </w:r>
      <w:r>
        <w:tab/>
      </w:r>
      <w:proofErr w:type="gramStart"/>
      <w:r>
        <w:t>Staff Exceptions at 37.</w:t>
      </w:r>
      <w:proofErr w:type="gramEnd"/>
    </w:p>
  </w:footnote>
  <w:footnote w:id="533">
    <w:p w14:paraId="1BBB592C" w14:textId="77777777" w:rsidR="00BF1EC4" w:rsidRDefault="00BF1EC4" w:rsidP="003A17DF">
      <w:pPr>
        <w:pStyle w:val="FootnoteText"/>
      </w:pPr>
      <w:r>
        <w:rPr>
          <w:rStyle w:val="FootnoteReference"/>
        </w:rPr>
        <w:footnoteRef/>
      </w:r>
      <w:r>
        <w:t xml:space="preserve"> </w:t>
      </w:r>
      <w:r>
        <w:tab/>
        <w:t>Direct Testimony of A. Naim Hakimi, SWEPCO Ex. 14 at 4 and 8.</w:t>
      </w:r>
    </w:p>
  </w:footnote>
  <w:footnote w:id="534">
    <w:p w14:paraId="7D589F1C" w14:textId="77777777" w:rsidR="00BF1EC4" w:rsidRDefault="00BF1EC4" w:rsidP="003A17DF">
      <w:pPr>
        <w:pStyle w:val="FootnoteText"/>
      </w:pPr>
      <w:r>
        <w:rPr>
          <w:rStyle w:val="FootnoteReference"/>
        </w:rPr>
        <w:footnoteRef/>
      </w:r>
      <w:r>
        <w:t xml:space="preserve"> </w:t>
      </w:r>
      <w:r>
        <w:tab/>
        <w:t>SWEPCO Ex. 14 at 9.</w:t>
      </w:r>
    </w:p>
  </w:footnote>
  <w:footnote w:id="535">
    <w:p w14:paraId="4BDCE2DE" w14:textId="77777777" w:rsidR="00BF1EC4" w:rsidRDefault="00BF1EC4" w:rsidP="003A17DF">
      <w:pPr>
        <w:pStyle w:val="FootnoteText"/>
      </w:pPr>
      <w:r>
        <w:rPr>
          <w:rStyle w:val="FootnoteReference"/>
        </w:rPr>
        <w:footnoteRef/>
      </w:r>
      <w:r>
        <w:t xml:space="preserve"> </w:t>
      </w:r>
      <w:r>
        <w:tab/>
        <w:t>SWEPCO Ex. 14 at 9-10.</w:t>
      </w:r>
    </w:p>
  </w:footnote>
  <w:footnote w:id="536">
    <w:p w14:paraId="73F8357D" w14:textId="77777777" w:rsidR="00BF1EC4" w:rsidRDefault="00BF1EC4" w:rsidP="003A17DF">
      <w:pPr>
        <w:pStyle w:val="FootnoteText"/>
      </w:pPr>
      <w:r>
        <w:rPr>
          <w:rStyle w:val="FootnoteReference"/>
        </w:rPr>
        <w:footnoteRef/>
      </w:r>
      <w:r>
        <w:t xml:space="preserve"> </w:t>
      </w:r>
      <w:r>
        <w:tab/>
        <w:t>SWEPCO Ex. 14 at 10.</w:t>
      </w:r>
    </w:p>
  </w:footnote>
  <w:footnote w:id="537">
    <w:p w14:paraId="1428EA42" w14:textId="77777777" w:rsidR="00BF1EC4" w:rsidRDefault="00BF1EC4" w:rsidP="003A17DF">
      <w:pPr>
        <w:pStyle w:val="FootnoteText"/>
      </w:pPr>
      <w:r>
        <w:rPr>
          <w:rStyle w:val="FootnoteReference"/>
        </w:rPr>
        <w:footnoteRef/>
      </w:r>
      <w:r>
        <w:t xml:space="preserve"> </w:t>
      </w:r>
      <w:r>
        <w:tab/>
      </w:r>
      <w:proofErr w:type="gramStart"/>
      <w:r>
        <w:t>Sierra Club Exceptions at 66.</w:t>
      </w:r>
      <w:proofErr w:type="gramEnd"/>
    </w:p>
  </w:footnote>
  <w:footnote w:id="538">
    <w:p w14:paraId="00AFA465" w14:textId="77777777" w:rsidR="00BF1EC4" w:rsidRDefault="00BF1EC4" w:rsidP="003A17DF">
      <w:pPr>
        <w:pStyle w:val="FootnoteText"/>
      </w:pPr>
      <w:r>
        <w:rPr>
          <w:rStyle w:val="FootnoteReference"/>
        </w:rPr>
        <w:footnoteRef/>
      </w:r>
      <w:r>
        <w:t xml:space="preserve"> </w:t>
      </w:r>
      <w:r>
        <w:tab/>
        <w:t>SWEPCO Ex. 51 at 5.</w:t>
      </w:r>
    </w:p>
  </w:footnote>
  <w:footnote w:id="539">
    <w:p w14:paraId="6D4275EE" w14:textId="77777777" w:rsidR="00BF1EC4" w:rsidRDefault="00BF1EC4" w:rsidP="003A17DF">
      <w:pPr>
        <w:pStyle w:val="FootnoteText"/>
      </w:pPr>
      <w:r>
        <w:rPr>
          <w:rStyle w:val="FootnoteReference"/>
        </w:rPr>
        <w:footnoteRef/>
      </w:r>
      <w:r>
        <w:t xml:space="preserve"> </w:t>
      </w:r>
      <w:r>
        <w:tab/>
        <w:t>SWEPCO Ex. 51 at 8, Exhibit ANH-1R.</w:t>
      </w:r>
    </w:p>
  </w:footnote>
  <w:footnote w:id="540">
    <w:p w14:paraId="29B310FE" w14:textId="77777777" w:rsidR="00BF1EC4" w:rsidRDefault="00BF1EC4" w:rsidP="003A17DF">
      <w:pPr>
        <w:pStyle w:val="FootnoteText"/>
      </w:pPr>
      <w:r>
        <w:rPr>
          <w:rStyle w:val="FootnoteReference"/>
        </w:rPr>
        <w:footnoteRef/>
      </w:r>
      <w:r>
        <w:t xml:space="preserve"> </w:t>
      </w:r>
      <w:r>
        <w:tab/>
        <w:t>SWEPCO Ex. 51 at 12, Exhibit ANH-2R.</w:t>
      </w:r>
    </w:p>
  </w:footnote>
  <w:footnote w:id="541">
    <w:p w14:paraId="559FA3EF" w14:textId="77777777" w:rsidR="00BF1EC4" w:rsidRPr="00444FC5" w:rsidRDefault="00BF1EC4" w:rsidP="003A17DF">
      <w:pPr>
        <w:pStyle w:val="FootnoteText"/>
      </w:pPr>
      <w:r>
        <w:rPr>
          <w:rStyle w:val="FootnoteReference"/>
        </w:rPr>
        <w:footnoteRef/>
      </w:r>
      <w:r>
        <w:t xml:space="preserve"> </w:t>
      </w:r>
      <w:r>
        <w:tab/>
      </w:r>
      <w:r>
        <w:rPr>
          <w:i/>
        </w:rPr>
        <w:t xml:space="preserve">See e.g., </w:t>
      </w:r>
      <w:r>
        <w:t xml:space="preserve">Sierra Club Exceptions at 67. </w:t>
      </w:r>
    </w:p>
  </w:footnote>
  <w:footnote w:id="542">
    <w:p w14:paraId="6860E27C" w14:textId="77777777" w:rsidR="00BF1EC4" w:rsidRDefault="00BF1EC4" w:rsidP="003A17DF">
      <w:pPr>
        <w:pStyle w:val="FootnoteText"/>
      </w:pPr>
      <w:r>
        <w:rPr>
          <w:rStyle w:val="FootnoteReference"/>
        </w:rPr>
        <w:footnoteRef/>
      </w:r>
      <w:r>
        <w:t xml:space="preserve"> </w:t>
      </w:r>
      <w:r>
        <w:tab/>
        <w:t>SWEPCO Ex. 51 at 13.</w:t>
      </w:r>
    </w:p>
  </w:footnote>
  <w:footnote w:id="543">
    <w:p w14:paraId="67DDA701" w14:textId="77777777" w:rsidR="00BF1EC4" w:rsidRDefault="00BF1EC4" w:rsidP="003A17DF">
      <w:pPr>
        <w:pStyle w:val="FootnoteText"/>
      </w:pPr>
      <w:r>
        <w:rPr>
          <w:rStyle w:val="FootnoteReference"/>
        </w:rPr>
        <w:footnoteRef/>
      </w:r>
      <w:r>
        <w:t xml:space="preserve"> </w:t>
      </w:r>
      <w:r>
        <w:tab/>
        <w:t>SWEPCO Ex. 51 at 6.</w:t>
      </w:r>
    </w:p>
  </w:footnote>
  <w:footnote w:id="544">
    <w:p w14:paraId="3D5CCA26" w14:textId="77777777" w:rsidR="00BF1EC4" w:rsidRDefault="00BF1EC4" w:rsidP="003A17DF">
      <w:pPr>
        <w:pStyle w:val="FootnoteText"/>
      </w:pPr>
      <w:r>
        <w:rPr>
          <w:rStyle w:val="FootnoteReference"/>
        </w:rPr>
        <w:footnoteRef/>
      </w:r>
      <w:r>
        <w:t xml:space="preserve"> </w:t>
      </w:r>
      <w:r>
        <w:tab/>
        <w:t>Sierra Club Exceptions at 70, n.189 (“then she estimated the percentage of time each unit operated uneconomically by calculating the number of hours in which that unit operated despite its monthly production cost exceeding the relevant hourly locational marginal price”).</w:t>
      </w:r>
    </w:p>
  </w:footnote>
  <w:footnote w:id="545">
    <w:p w14:paraId="2BC3E627" w14:textId="77777777" w:rsidR="00BF1EC4" w:rsidRDefault="00BF1EC4" w:rsidP="003A17DF">
      <w:pPr>
        <w:pStyle w:val="FootnoteText"/>
      </w:pPr>
      <w:r>
        <w:rPr>
          <w:rStyle w:val="FootnoteReference"/>
        </w:rPr>
        <w:footnoteRef/>
      </w:r>
      <w:r>
        <w:t xml:space="preserve"> </w:t>
      </w:r>
      <w:r>
        <w:tab/>
        <w:t>SWEPCO Ex. 51 at 7-8.</w:t>
      </w:r>
    </w:p>
  </w:footnote>
  <w:footnote w:id="546">
    <w:p w14:paraId="1561318C" w14:textId="77777777" w:rsidR="00BF1EC4" w:rsidRDefault="00BF1EC4" w:rsidP="003A17DF">
      <w:pPr>
        <w:pStyle w:val="FootnoteText"/>
      </w:pPr>
      <w:r>
        <w:rPr>
          <w:rStyle w:val="FootnoteReference"/>
        </w:rPr>
        <w:footnoteRef/>
      </w:r>
      <w:r>
        <w:t xml:space="preserve"> </w:t>
      </w:r>
      <w:r>
        <w:tab/>
        <w:t>SWEPCO Ex. 51 at 9.</w:t>
      </w:r>
    </w:p>
  </w:footnote>
  <w:footnote w:id="547">
    <w:p w14:paraId="4CB6975C" w14:textId="77777777" w:rsidR="00BF1EC4" w:rsidRDefault="00BF1EC4" w:rsidP="003A17DF">
      <w:pPr>
        <w:pStyle w:val="FootnoteText"/>
      </w:pPr>
      <w:r>
        <w:rPr>
          <w:rStyle w:val="FootnoteReference"/>
        </w:rPr>
        <w:footnoteRef/>
      </w:r>
      <w:r>
        <w:t xml:space="preserve"> </w:t>
      </w:r>
      <w:r>
        <w:tab/>
      </w:r>
      <w:proofErr w:type="gramStart"/>
      <w:r>
        <w:t>SWEPCO Ex. 51 at 10, 11.</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9738D" w14:textId="77777777" w:rsidR="00BF1EC4" w:rsidRDefault="00BF1EC4" w:rsidP="00E80B7D">
    <w:pPr>
      <w:tabs>
        <w:tab w:val="center" w:pos="5040"/>
        <w:tab w:val="right" w:pos="9360"/>
      </w:tabs>
      <w:spacing w:line="240" w:lineRule="auto"/>
      <w:ind w:firstLine="0"/>
      <w:rPr>
        <w:b/>
        <w:bCs/>
        <w:sz w:val="20"/>
        <w:szCs w:val="20"/>
      </w:rPr>
    </w:pPr>
    <w:r>
      <w:rPr>
        <w:b/>
        <w:bCs/>
        <w:sz w:val="20"/>
        <w:szCs w:val="20"/>
      </w:rPr>
      <w:t>SOAH DOCKET NO. 473-17-1764</w:t>
    </w:r>
    <w:r>
      <w:rPr>
        <w:b/>
        <w:bCs/>
        <w:sz w:val="20"/>
        <w:szCs w:val="20"/>
      </w:rPr>
      <w:tab/>
      <w:t>TABLE OF CONTENTS</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E711A1">
      <w:rPr>
        <w:b/>
        <w:bCs/>
        <w:noProof/>
        <w:sz w:val="20"/>
        <w:szCs w:val="20"/>
      </w:rPr>
      <w:t>iii</w:t>
    </w:r>
    <w:r>
      <w:rPr>
        <w:b/>
        <w:bCs/>
        <w:sz w:val="20"/>
        <w:szCs w:val="20"/>
      </w:rPr>
      <w:fldChar w:fldCharType="end"/>
    </w:r>
  </w:p>
  <w:p w14:paraId="18329482" w14:textId="77777777" w:rsidR="00BF1EC4" w:rsidRDefault="00BF1EC4" w:rsidP="00E80B7D">
    <w:pPr>
      <w:spacing w:line="240" w:lineRule="auto"/>
      <w:ind w:firstLine="0"/>
      <w:rPr>
        <w:b/>
        <w:bCs/>
        <w:sz w:val="20"/>
        <w:szCs w:val="20"/>
      </w:rPr>
    </w:pPr>
    <w:r>
      <w:rPr>
        <w:b/>
        <w:bCs/>
        <w:sz w:val="20"/>
        <w:szCs w:val="20"/>
      </w:rPr>
      <w:t>PUC DOCKET NO. 46449</w:t>
    </w:r>
  </w:p>
  <w:p w14:paraId="6778001D" w14:textId="77777777" w:rsidR="00BF1EC4" w:rsidRDefault="00BF1EC4"/>
  <w:p w14:paraId="01A93DEB" w14:textId="77777777" w:rsidR="00BF1EC4" w:rsidRDefault="00BF1EC4">
    <w:pPr>
      <w:spacing w:line="217"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9AD69" w14:textId="77777777" w:rsidR="00BF1EC4" w:rsidRPr="00E80B7D" w:rsidRDefault="00BF1EC4" w:rsidP="00333E80">
    <w:pPr>
      <w:tabs>
        <w:tab w:val="center" w:pos="5040"/>
        <w:tab w:val="right" w:pos="9360"/>
      </w:tabs>
      <w:spacing w:line="240" w:lineRule="auto"/>
      <w:ind w:firstLine="0"/>
      <w:rPr>
        <w:b/>
        <w:bC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46A1D" w14:textId="77777777" w:rsidR="00BF1EC4" w:rsidRDefault="00BF1EC4" w:rsidP="00021E70">
    <w:pPr>
      <w:tabs>
        <w:tab w:val="center" w:pos="5040"/>
        <w:tab w:val="right" w:pos="9360"/>
      </w:tabs>
      <w:spacing w:line="240" w:lineRule="auto"/>
      <w:ind w:firstLine="0"/>
      <w:rPr>
        <w:b/>
        <w:bCs/>
        <w:sz w:val="20"/>
        <w:szCs w:val="20"/>
      </w:rPr>
    </w:pPr>
    <w:r>
      <w:rPr>
        <w:b/>
        <w:bCs/>
        <w:sz w:val="20"/>
        <w:szCs w:val="20"/>
      </w:rPr>
      <w:t>SOAH DOCKET NO. 473-17-1764</w:t>
    </w:r>
    <w:r>
      <w:rPr>
        <w:b/>
        <w:bCs/>
        <w:sz w:val="20"/>
        <w:szCs w:val="20"/>
      </w:rPr>
      <w:tab/>
      <w:t>REPLY TO EXCEPTIONS</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E711A1">
      <w:rPr>
        <w:b/>
        <w:bCs/>
        <w:noProof/>
        <w:sz w:val="20"/>
        <w:szCs w:val="20"/>
      </w:rPr>
      <w:t>127</w:t>
    </w:r>
    <w:r>
      <w:rPr>
        <w:b/>
        <w:bCs/>
        <w:sz w:val="20"/>
        <w:szCs w:val="20"/>
      </w:rPr>
      <w:fldChar w:fldCharType="end"/>
    </w:r>
  </w:p>
  <w:p w14:paraId="3AD7A0BE" w14:textId="77777777" w:rsidR="00BF1EC4" w:rsidRDefault="00BF1EC4" w:rsidP="00021E70">
    <w:pPr>
      <w:spacing w:line="240" w:lineRule="auto"/>
      <w:ind w:firstLine="0"/>
      <w:rPr>
        <w:b/>
        <w:bCs/>
        <w:sz w:val="20"/>
        <w:szCs w:val="20"/>
      </w:rPr>
    </w:pPr>
    <w:r>
      <w:rPr>
        <w:b/>
        <w:bCs/>
        <w:sz w:val="20"/>
        <w:szCs w:val="20"/>
      </w:rPr>
      <w:t>PUC DOCKET NO. 46449</w:t>
    </w:r>
  </w:p>
  <w:p w14:paraId="7D3E7A6D" w14:textId="77777777" w:rsidR="00BF1EC4" w:rsidRDefault="00BF1EC4"/>
  <w:p w14:paraId="60EBACE5" w14:textId="77777777" w:rsidR="00BF1EC4" w:rsidRDefault="00BF1EC4">
    <w:pPr>
      <w:spacing w:line="217"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14D5A" w14:textId="77777777" w:rsidR="00BF1EC4" w:rsidRDefault="00BF1EC4" w:rsidP="001930FC">
    <w:pPr>
      <w:tabs>
        <w:tab w:val="center" w:pos="5040"/>
        <w:tab w:val="right" w:pos="9360"/>
      </w:tabs>
      <w:spacing w:line="240" w:lineRule="auto"/>
      <w:ind w:firstLine="0"/>
      <w:rPr>
        <w:b/>
        <w:bCs/>
        <w:sz w:val="20"/>
        <w:szCs w:val="20"/>
      </w:rPr>
    </w:pPr>
    <w:r>
      <w:rPr>
        <w:b/>
        <w:bCs/>
        <w:sz w:val="20"/>
        <w:szCs w:val="20"/>
      </w:rPr>
      <w:t>SOAH DOCKET NO. 473-17-1764</w:t>
    </w:r>
    <w:r>
      <w:rPr>
        <w:b/>
        <w:bCs/>
        <w:sz w:val="20"/>
        <w:szCs w:val="20"/>
      </w:rPr>
      <w:tab/>
      <w:t>REPLY TO EXCEPTIONS</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E711A1">
      <w:rPr>
        <w:b/>
        <w:bCs/>
        <w:noProof/>
        <w:sz w:val="20"/>
        <w:szCs w:val="20"/>
      </w:rPr>
      <w:t>128</w:t>
    </w:r>
    <w:r>
      <w:rPr>
        <w:b/>
        <w:bCs/>
        <w:sz w:val="20"/>
        <w:szCs w:val="20"/>
      </w:rPr>
      <w:fldChar w:fldCharType="end"/>
    </w:r>
  </w:p>
  <w:p w14:paraId="02E176CD" w14:textId="77777777" w:rsidR="00BF1EC4" w:rsidRDefault="00BF1EC4" w:rsidP="001930FC">
    <w:pPr>
      <w:spacing w:line="240" w:lineRule="auto"/>
      <w:ind w:firstLine="0"/>
      <w:rPr>
        <w:b/>
        <w:bCs/>
        <w:sz w:val="20"/>
        <w:szCs w:val="20"/>
      </w:rPr>
    </w:pPr>
    <w:r>
      <w:rPr>
        <w:b/>
        <w:bCs/>
        <w:sz w:val="20"/>
        <w:szCs w:val="20"/>
      </w:rPr>
      <w:t>PUC DOCKET NO. 46449</w:t>
    </w:r>
  </w:p>
  <w:p w14:paraId="1E9748C0" w14:textId="77777777" w:rsidR="00BF1EC4" w:rsidRPr="00E80B7D" w:rsidRDefault="00BF1EC4" w:rsidP="00333E80">
    <w:pPr>
      <w:tabs>
        <w:tab w:val="center" w:pos="5040"/>
        <w:tab w:val="right" w:pos="9360"/>
      </w:tabs>
      <w:spacing w:line="240" w:lineRule="auto"/>
      <w:ind w:firstLine="0"/>
      <w:rPr>
        <w:b/>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1B6F174"/>
    <w:lvl w:ilvl="0">
      <w:start w:val="1"/>
      <w:numFmt w:val="decimal"/>
      <w:pStyle w:val="ListNumber2"/>
      <w:lvlText w:val="%1."/>
      <w:lvlJc w:val="left"/>
      <w:pPr>
        <w:tabs>
          <w:tab w:val="num" w:pos="720"/>
        </w:tabs>
        <w:ind w:left="720" w:hanging="360"/>
      </w:pPr>
    </w:lvl>
  </w:abstractNum>
  <w:abstractNum w:abstractNumId="1">
    <w:nsid w:val="FFFFFF80"/>
    <w:multiLevelType w:val="singleLevel"/>
    <w:tmpl w:val="093CB8D4"/>
    <w:lvl w:ilvl="0">
      <w:start w:val="1"/>
      <w:numFmt w:val="bullet"/>
      <w:pStyle w:val="StyleListBullet5Bold"/>
      <w:lvlText w:val=""/>
      <w:lvlJc w:val="left"/>
      <w:pPr>
        <w:tabs>
          <w:tab w:val="num" w:pos="1800"/>
        </w:tabs>
        <w:ind w:left="1800" w:hanging="360"/>
      </w:pPr>
      <w:rPr>
        <w:rFonts w:ascii="Wingdings" w:hAnsi="Wingdings" w:hint="default"/>
      </w:rPr>
    </w:lvl>
  </w:abstractNum>
  <w:abstractNum w:abstractNumId="2">
    <w:nsid w:val="FFFFFF81"/>
    <w:multiLevelType w:val="singleLevel"/>
    <w:tmpl w:val="DD36FD42"/>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8"/>
    <w:multiLevelType w:val="singleLevel"/>
    <w:tmpl w:val="590800F4"/>
    <w:lvl w:ilvl="0">
      <w:start w:val="1"/>
      <w:numFmt w:val="decimal"/>
      <w:pStyle w:val="ListNumber"/>
      <w:lvlText w:val="%1."/>
      <w:lvlJc w:val="left"/>
      <w:pPr>
        <w:tabs>
          <w:tab w:val="num" w:pos="360"/>
        </w:tabs>
        <w:ind w:left="360" w:hanging="360"/>
      </w:pPr>
    </w:lvl>
  </w:abstractNum>
  <w:abstractNum w:abstractNumId="4">
    <w:nsid w:val="FFFFFF89"/>
    <w:multiLevelType w:val="singleLevel"/>
    <w:tmpl w:val="EC7A8E9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0FC7726"/>
    <w:multiLevelType w:val="singleLevel"/>
    <w:tmpl w:val="FD961BDA"/>
    <w:lvl w:ilvl="0">
      <w:start w:val="1"/>
      <w:numFmt w:val="decimal"/>
      <w:pStyle w:val="COLNumbered"/>
      <w:lvlText w:val="%1."/>
      <w:lvlJc w:val="right"/>
      <w:pPr>
        <w:ind w:left="288" w:hanging="288"/>
      </w:pPr>
      <w:rPr>
        <w:rFonts w:cs="Times New Roman" w:hint="default"/>
        <w:b w:val="0"/>
      </w:rPr>
    </w:lvl>
  </w:abstractNum>
  <w:abstractNum w:abstractNumId="6">
    <w:nsid w:val="03492D8A"/>
    <w:multiLevelType w:val="hybridMultilevel"/>
    <w:tmpl w:val="89C4C2D6"/>
    <w:lvl w:ilvl="0" w:tplc="88B643E2">
      <w:start w:val="1"/>
      <w:numFmt w:val="decimal"/>
      <w:pStyle w:val="Heading3"/>
      <w:lvlText w:val="%1."/>
      <w:lvlJc w:val="left"/>
      <w:pPr>
        <w:tabs>
          <w:tab w:val="num" w:pos="1440"/>
        </w:tabs>
        <w:ind w:left="1440" w:hanging="720"/>
      </w:pPr>
      <w:rPr>
        <w:rFonts w:hint="default"/>
      </w:rPr>
    </w:lvl>
    <w:lvl w:ilvl="1" w:tplc="5E16FD18">
      <w:start w:val="1"/>
      <w:numFmt w:val="bullet"/>
      <w:pStyle w:val="ListBullet3"/>
      <w:lvlText w:val=""/>
      <w:lvlJc w:val="left"/>
      <w:pPr>
        <w:tabs>
          <w:tab w:val="num" w:pos="1440"/>
        </w:tabs>
        <w:ind w:left="1440" w:hanging="360"/>
      </w:pPr>
      <w:rPr>
        <w:rFonts w:ascii="Wingdings" w:hAnsi="Wingdings" w:hint="default"/>
      </w:rPr>
    </w:lvl>
    <w:lvl w:ilvl="2" w:tplc="E628252A">
      <w:start w:val="1"/>
      <w:numFmt w:val="lowerRoman"/>
      <w:lvlText w:val="%3."/>
      <w:lvlJc w:val="right"/>
      <w:pPr>
        <w:tabs>
          <w:tab w:val="num" w:pos="2880"/>
        </w:tabs>
        <w:ind w:left="288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8F3D5E"/>
    <w:multiLevelType w:val="singleLevel"/>
    <w:tmpl w:val="3558D1B4"/>
    <w:lvl w:ilvl="0">
      <w:start w:val="1"/>
      <w:numFmt w:val="decimal"/>
      <w:pStyle w:val="FOFNumbered"/>
      <w:lvlText w:val="%1."/>
      <w:lvlJc w:val="left"/>
      <w:pPr>
        <w:tabs>
          <w:tab w:val="num" w:pos="1080"/>
        </w:tabs>
        <w:ind w:left="1080" w:hanging="720"/>
      </w:pPr>
      <w:rPr>
        <w:sz w:val="24"/>
        <w:szCs w:val="24"/>
      </w:rPr>
    </w:lvl>
  </w:abstractNum>
  <w:abstractNum w:abstractNumId="8">
    <w:nsid w:val="1A2A7EE9"/>
    <w:multiLevelType w:val="hybridMultilevel"/>
    <w:tmpl w:val="6592289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nsid w:val="24102AD1"/>
    <w:multiLevelType w:val="hybridMultilevel"/>
    <w:tmpl w:val="08283854"/>
    <w:lvl w:ilvl="0" w:tplc="0144F4A6">
      <w:start w:val="1"/>
      <w:numFmt w:val="upperRoman"/>
      <w:pStyle w:val="Heading1"/>
      <w:lvlText w:val="%1."/>
      <w:lvlJc w:val="left"/>
      <w:pPr>
        <w:ind w:left="360" w:hanging="360"/>
      </w:pPr>
      <w:rPr>
        <w:rFonts w:ascii="Times New Roman Bold" w:hAnsi="Times New Roman Bold" w:hint="default"/>
        <w:b/>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7E2069"/>
    <w:multiLevelType w:val="hybridMultilevel"/>
    <w:tmpl w:val="2BC0B8DE"/>
    <w:lvl w:ilvl="0" w:tplc="23E8DD52">
      <w:start w:val="3"/>
      <w:numFmt w:val="lowerLetter"/>
      <w:pStyle w:val="Heading4"/>
      <w:lvlText w:val="%1."/>
      <w:lvlJc w:val="left"/>
      <w:pPr>
        <w:tabs>
          <w:tab w:val="num" w:pos="2160"/>
        </w:tabs>
        <w:ind w:left="216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3096387A"/>
    <w:multiLevelType w:val="hybridMultilevel"/>
    <w:tmpl w:val="C5EEEE1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nsid w:val="39762DA4"/>
    <w:multiLevelType w:val="hybridMultilevel"/>
    <w:tmpl w:val="617C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E10427"/>
    <w:multiLevelType w:val="multilevel"/>
    <w:tmpl w:val="A14430C6"/>
    <w:lvl w:ilvl="0">
      <w:start w:val="1"/>
      <w:numFmt w:val="upperRoman"/>
      <w:pStyle w:val="PCROutline1"/>
      <w:lvlText w:val="%1."/>
      <w:lvlJc w:val="left"/>
      <w:pPr>
        <w:ind w:left="360" w:hanging="360"/>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CROutline2"/>
      <w:lvlText w:val="%2."/>
      <w:lvlJc w:val="left"/>
      <w:pPr>
        <w:tabs>
          <w:tab w:val="num" w:pos="90"/>
        </w:tabs>
        <w:ind w:left="810" w:hanging="72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CROutline3"/>
      <w:lvlText w:val="%3."/>
      <w:lvlJc w:val="left"/>
      <w:pPr>
        <w:tabs>
          <w:tab w:val="num" w:pos="720"/>
        </w:tabs>
        <w:ind w:left="2160" w:hanging="720"/>
      </w:pPr>
      <w:rPr>
        <w:rFonts w:cs="Times New Roman" w:hint="default"/>
      </w:rPr>
    </w:lvl>
    <w:lvl w:ilvl="3">
      <w:start w:val="1"/>
      <w:numFmt w:val="lowerLetter"/>
      <w:pStyle w:val="PCROutline4"/>
      <w:lvlText w:val="%4."/>
      <w:lvlJc w:val="left"/>
      <w:pPr>
        <w:tabs>
          <w:tab w:val="num" w:pos="180"/>
        </w:tabs>
        <w:ind w:left="2340" w:hanging="7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CROutline5"/>
      <w:lvlText w:val="(%5)"/>
      <w:lvlJc w:val="left"/>
      <w:pPr>
        <w:tabs>
          <w:tab w:val="num" w:pos="720"/>
        </w:tabs>
        <w:ind w:left="3600" w:hanging="720"/>
      </w:pPr>
      <w:rPr>
        <w:rFonts w:cs="Times New Roman" w:hint="default"/>
      </w:rPr>
    </w:lvl>
    <w:lvl w:ilvl="5">
      <w:start w:val="1"/>
      <w:numFmt w:val="lowerLetter"/>
      <w:pStyle w:val="PCROutline6"/>
      <w:lvlText w:val="(%6)"/>
      <w:lvlJc w:val="left"/>
      <w:pPr>
        <w:tabs>
          <w:tab w:val="num" w:pos="720"/>
        </w:tabs>
        <w:ind w:left="4320" w:hanging="720"/>
      </w:pPr>
      <w:rPr>
        <w:rFonts w:cs="Times New Roman" w:hint="default"/>
      </w:rPr>
    </w:lvl>
    <w:lvl w:ilvl="6">
      <w:start w:val="1"/>
      <w:numFmt w:val="lowerRoman"/>
      <w:pStyle w:val="PCROutline7"/>
      <w:lvlText w:val="%7)"/>
      <w:lvlJc w:val="left"/>
      <w:pPr>
        <w:tabs>
          <w:tab w:val="num" w:pos="720"/>
        </w:tabs>
        <w:ind w:left="5040" w:hanging="720"/>
      </w:pPr>
      <w:rPr>
        <w:rFonts w:cs="Times New Roman" w:hint="default"/>
      </w:rPr>
    </w:lvl>
    <w:lvl w:ilvl="7">
      <w:start w:val="1"/>
      <w:numFmt w:val="lowerLetter"/>
      <w:pStyle w:val="PCROutline8"/>
      <w:lvlText w:val="%8)"/>
      <w:lvlJc w:val="left"/>
      <w:pPr>
        <w:tabs>
          <w:tab w:val="num" w:pos="720"/>
        </w:tabs>
        <w:ind w:left="5760" w:hanging="720"/>
      </w:pPr>
      <w:rPr>
        <w:rFonts w:cs="Times New Roman" w:hint="default"/>
      </w:rPr>
    </w:lvl>
    <w:lvl w:ilvl="8">
      <w:start w:val="1"/>
      <w:numFmt w:val="decimal"/>
      <w:pStyle w:val="PCROutline9"/>
      <w:lvlText w:val="%9)"/>
      <w:lvlJc w:val="left"/>
      <w:pPr>
        <w:tabs>
          <w:tab w:val="num" w:pos="720"/>
        </w:tabs>
        <w:ind w:left="6480" w:hanging="720"/>
      </w:pPr>
      <w:rPr>
        <w:rFonts w:cs="Times New Roman" w:hint="default"/>
      </w:rPr>
    </w:lvl>
  </w:abstractNum>
  <w:abstractNum w:abstractNumId="14">
    <w:nsid w:val="3B3641D0"/>
    <w:multiLevelType w:val="multilevel"/>
    <w:tmpl w:val="0409001F"/>
    <w:styleLink w:val="111111"/>
    <w:lvl w:ilvl="0">
      <w:start w:val="1"/>
      <w:numFmt w:val="decimal"/>
      <w:lvlText w:val="%1."/>
      <w:lvlJc w:val="left"/>
      <w:pPr>
        <w:ind w:left="360" w:hanging="360"/>
      </w:pPr>
      <w:rPr>
        <w:rFonts w:ascii="Times New Roman" w:hAnsi="Times New Roman"/>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DBE6E4A"/>
    <w:multiLevelType w:val="hybridMultilevel"/>
    <w:tmpl w:val="D3063DD2"/>
    <w:lvl w:ilvl="0" w:tplc="701A1D5A">
      <w:start w:val="1"/>
      <w:numFmt w:val="lowerLetter"/>
      <w:pStyle w:val="StyleHeading4JustifiedLeft075Hanging025Before"/>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0E36C9"/>
    <w:multiLevelType w:val="hybridMultilevel"/>
    <w:tmpl w:val="FEDABD20"/>
    <w:lvl w:ilvl="0" w:tplc="B8DC5508">
      <w:start w:val="1"/>
      <w:numFmt w:val="decimal"/>
      <w:pStyle w:val="StyleHeading3JustifiedLeft05Hanging025Before"/>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4AF2CDC"/>
    <w:multiLevelType w:val="hybridMultilevel"/>
    <w:tmpl w:val="2AFA0F4C"/>
    <w:lvl w:ilvl="0" w:tplc="3FF88AEE">
      <w:start w:val="1"/>
      <w:numFmt w:val="lowerRoman"/>
      <w:pStyle w:val="Heading5"/>
      <w:lvlText w:val="%1."/>
      <w:lvlJc w:val="right"/>
      <w:pPr>
        <w:tabs>
          <w:tab w:val="num" w:pos="2880"/>
        </w:tabs>
        <w:ind w:left="28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284235"/>
    <w:multiLevelType w:val="hybridMultilevel"/>
    <w:tmpl w:val="B8DEC77C"/>
    <w:lvl w:ilvl="0" w:tplc="CD7A6BD8">
      <w:start w:val="1"/>
      <w:numFmt w:val="upperLetter"/>
      <w:pStyle w:val="Heading2"/>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0F0052"/>
    <w:multiLevelType w:val="hybridMultilevel"/>
    <w:tmpl w:val="E4E60598"/>
    <w:name w:val="ì26"/>
    <w:lvl w:ilvl="0" w:tplc="EC08958E">
      <w:start w:val="1"/>
      <w:numFmt w:val="lowerLetter"/>
      <w:lvlText w:val="%1."/>
      <w:lvlJc w:val="left"/>
      <w:pPr>
        <w:tabs>
          <w:tab w:val="num" w:pos="1080"/>
        </w:tabs>
        <w:ind w:left="1080" w:hanging="360"/>
      </w:pPr>
      <w:rPr>
        <w:rFonts w:hint="default"/>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18C4E49"/>
    <w:multiLevelType w:val="hybridMultilevel"/>
    <w:tmpl w:val="A92C697A"/>
    <w:lvl w:ilvl="0" w:tplc="D44A9184">
      <w:start w:val="1"/>
      <w:numFmt w:val="bullet"/>
      <w:pStyle w:val="StyleListBullet5Bold1"/>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9"/>
  </w:num>
  <w:num w:numId="5">
    <w:abstractNumId w:val="18"/>
  </w:num>
  <w:num w:numId="6">
    <w:abstractNumId w:val="18"/>
    <w:lvlOverride w:ilvl="0">
      <w:startOverride w:val="1"/>
    </w:lvlOverride>
  </w:num>
  <w:num w:numId="7">
    <w:abstractNumId w:val="16"/>
  </w:num>
  <w:num w:numId="8">
    <w:abstractNumId w:val="15"/>
  </w:num>
  <w:num w:numId="9">
    <w:abstractNumId w:val="6"/>
  </w:num>
  <w:num w:numId="10">
    <w:abstractNumId w:val="17"/>
  </w:num>
  <w:num w:numId="11">
    <w:abstractNumId w:val="6"/>
    <w:lvlOverride w:ilvl="0">
      <w:startOverride w:val="1"/>
    </w:lvlOverride>
  </w:num>
  <w:num w:numId="12">
    <w:abstractNumId w:val="18"/>
    <w:lvlOverride w:ilvl="0">
      <w:startOverride w:val="1"/>
    </w:lvlOverride>
  </w:num>
  <w:num w:numId="13">
    <w:abstractNumId w:val="18"/>
    <w:lvlOverride w:ilvl="0">
      <w:startOverride w:val="1"/>
    </w:lvlOverride>
  </w:num>
  <w:num w:numId="14">
    <w:abstractNumId w:val="18"/>
    <w:lvlOverride w:ilvl="0">
      <w:startOverride w:val="1"/>
    </w:lvlOverride>
  </w:num>
  <w:num w:numId="15">
    <w:abstractNumId w:val="6"/>
    <w:lvlOverride w:ilvl="0">
      <w:startOverride w:val="1"/>
    </w:lvlOverride>
  </w:num>
  <w:num w:numId="16">
    <w:abstractNumId w:val="5"/>
  </w:num>
  <w:num w:numId="17">
    <w:abstractNumId w:val="13"/>
  </w:num>
  <w:num w:numId="18">
    <w:abstractNumId w:val="2"/>
  </w:num>
  <w:num w:numId="19">
    <w:abstractNumId w:val="1"/>
  </w:num>
  <w:num w:numId="20">
    <w:abstractNumId w:val="20"/>
  </w:num>
  <w:num w:numId="21">
    <w:abstractNumId w:val="6"/>
    <w:lvlOverride w:ilvl="0">
      <w:startOverride w:val="1"/>
    </w:lvlOverride>
  </w:num>
  <w:num w:numId="22">
    <w:abstractNumId w:val="6"/>
    <w:lvlOverride w:ilvl="0">
      <w:startOverride w:val="1"/>
    </w:lvlOverride>
  </w:num>
  <w:num w:numId="23">
    <w:abstractNumId w:val="6"/>
  </w:num>
  <w:num w:numId="24">
    <w:abstractNumId w:val="14"/>
  </w:num>
  <w:num w:numId="25">
    <w:abstractNumId w:val="6"/>
    <w:lvlOverride w:ilvl="0">
      <w:startOverride w:val="1"/>
    </w:lvlOverride>
  </w:num>
  <w:num w:numId="26">
    <w:abstractNumId w:val="7"/>
  </w:num>
  <w:num w:numId="27">
    <w:abstractNumId w:val="17"/>
    <w:lvlOverride w:ilvl="0">
      <w:startOverride w:val="1"/>
    </w:lvlOverride>
  </w:num>
  <w:num w:numId="28">
    <w:abstractNumId w:val="18"/>
    <w:lvlOverride w:ilvl="0">
      <w:startOverride w:val="7"/>
    </w:lvlOverride>
  </w:num>
  <w:num w:numId="29">
    <w:abstractNumId w:val="18"/>
    <w:lvlOverride w:ilvl="0">
      <w:startOverride w:val="10"/>
    </w:lvlOverride>
  </w:num>
  <w:num w:numId="30">
    <w:abstractNumId w:val="10"/>
    <w:lvlOverride w:ilvl="0">
      <w:startOverride w:val="2"/>
    </w:lvlOverride>
  </w:num>
  <w:num w:numId="31">
    <w:abstractNumId w:val="6"/>
    <w:lvlOverride w:ilvl="0">
      <w:startOverride w:val="4"/>
    </w:lvlOverride>
  </w:num>
  <w:num w:numId="32">
    <w:abstractNumId w:val="10"/>
    <w:lvlOverride w:ilvl="0">
      <w:startOverride w:val="2"/>
    </w:lvlOverride>
  </w:num>
  <w:num w:numId="33">
    <w:abstractNumId w:val="10"/>
    <w:lvlOverride w:ilvl="0">
      <w:startOverride w:val="5"/>
    </w:lvlOverride>
  </w:num>
  <w:num w:numId="34">
    <w:abstractNumId w:val="6"/>
    <w:lvlOverride w:ilvl="0">
      <w:startOverride w:val="2"/>
    </w:lvlOverride>
  </w:num>
  <w:num w:numId="35">
    <w:abstractNumId w:val="12"/>
  </w:num>
  <w:num w:numId="36">
    <w:abstractNumId w:val="11"/>
  </w:num>
  <w:num w:numId="37">
    <w:abstractNumId w:val="6"/>
    <w:lvlOverride w:ilvl="0">
      <w:startOverride w:val="1"/>
    </w:lvlOverride>
  </w:num>
  <w:num w:numId="38">
    <w:abstractNumId w:val="8"/>
  </w:num>
  <w:num w:numId="39">
    <w:abstractNumId w:val="9"/>
    <w:lvlOverride w:ilvl="0">
      <w:startOverride w:val="5"/>
    </w:lvlOverride>
  </w:num>
  <w:num w:numId="40">
    <w:abstractNumId w:val="10"/>
  </w:num>
  <w:num w:numId="41">
    <w:abstractNumId w:val="10"/>
    <w:lvlOverride w:ilvl="0">
      <w:startOverride w:val="2"/>
    </w:lvlOverride>
  </w:num>
  <w:num w:numId="42">
    <w:abstractNumId w:val="9"/>
    <w:lvlOverride w:ilvl="0">
      <w:startOverride w:val="6"/>
    </w:lvlOverride>
  </w:num>
  <w:num w:numId="43">
    <w:abstractNumId w:val="9"/>
    <w:lvlOverride w:ilvl="0">
      <w:startOverride w:val="7"/>
    </w:lvlOverride>
  </w:num>
  <w:num w:numId="44">
    <w:abstractNumId w:val="18"/>
    <w:lvlOverride w:ilvl="0">
      <w:startOverride w:val="3"/>
    </w:lvlOverride>
  </w:num>
  <w:num w:numId="45">
    <w:abstractNumId w:val="18"/>
    <w:lvlOverride w:ilvl="0">
      <w:startOverride w:val="5"/>
    </w:lvlOverride>
  </w:num>
  <w:num w:numId="46">
    <w:abstractNumId w:val="18"/>
    <w:lvlOverride w:ilvl="0">
      <w:startOverride w:val="9"/>
    </w:lvlOverride>
  </w:num>
  <w:num w:numId="47">
    <w:abstractNumId w:val="18"/>
    <w:lvlOverride w:ilvl="0">
      <w:startOverride w:val="11"/>
    </w:lvlOverride>
  </w:num>
  <w:num w:numId="48">
    <w:abstractNumId w:val="18"/>
    <w:lvlOverride w:ilvl="0">
      <w:startOverride w:val="14"/>
    </w:lvlOverride>
  </w:num>
  <w:num w:numId="49">
    <w:abstractNumId w:val="18"/>
    <w:lvlOverride w:ilvl="0">
      <w:startOverride w:val="17"/>
    </w:lvlOverride>
  </w:num>
  <w:num w:numId="50">
    <w:abstractNumId w:val="9"/>
    <w:lvlOverride w:ilvl="0">
      <w:startOverride w:val="6"/>
    </w:lvlOverride>
  </w:num>
  <w:num w:numId="51">
    <w:abstractNumId w:val="9"/>
    <w:lvlOverride w:ilvl="0">
      <w:startOverride w:val="13"/>
    </w:lvlOverride>
  </w:num>
  <w:num w:numId="52">
    <w:abstractNumId w:val="18"/>
    <w:lvlOverride w:ilvl="0">
      <w:startOverride w:val="2"/>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hideSpelling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8B8"/>
    <w:rsid w:val="00000440"/>
    <w:rsid w:val="000005CA"/>
    <w:rsid w:val="000013A5"/>
    <w:rsid w:val="00001513"/>
    <w:rsid w:val="00001FCE"/>
    <w:rsid w:val="00002C8A"/>
    <w:rsid w:val="00003D3C"/>
    <w:rsid w:val="00006CC0"/>
    <w:rsid w:val="00007419"/>
    <w:rsid w:val="000077EE"/>
    <w:rsid w:val="00007852"/>
    <w:rsid w:val="00007CE9"/>
    <w:rsid w:val="0001187C"/>
    <w:rsid w:val="00012630"/>
    <w:rsid w:val="00014401"/>
    <w:rsid w:val="00014769"/>
    <w:rsid w:val="00014F0F"/>
    <w:rsid w:val="000152D3"/>
    <w:rsid w:val="0001728E"/>
    <w:rsid w:val="00017776"/>
    <w:rsid w:val="00020994"/>
    <w:rsid w:val="00020B02"/>
    <w:rsid w:val="00021E70"/>
    <w:rsid w:val="00022B30"/>
    <w:rsid w:val="00023332"/>
    <w:rsid w:val="00025488"/>
    <w:rsid w:val="00027DB6"/>
    <w:rsid w:val="0003034B"/>
    <w:rsid w:val="0003141F"/>
    <w:rsid w:val="00031E10"/>
    <w:rsid w:val="000320CD"/>
    <w:rsid w:val="00033B90"/>
    <w:rsid w:val="000346DB"/>
    <w:rsid w:val="000351B9"/>
    <w:rsid w:val="00040431"/>
    <w:rsid w:val="000408D6"/>
    <w:rsid w:val="00040A48"/>
    <w:rsid w:val="00040BCA"/>
    <w:rsid w:val="00040C46"/>
    <w:rsid w:val="00041F2C"/>
    <w:rsid w:val="000434F9"/>
    <w:rsid w:val="000436E0"/>
    <w:rsid w:val="0004477A"/>
    <w:rsid w:val="0004608F"/>
    <w:rsid w:val="0004665D"/>
    <w:rsid w:val="00046EA0"/>
    <w:rsid w:val="00047D05"/>
    <w:rsid w:val="00051D76"/>
    <w:rsid w:val="00054753"/>
    <w:rsid w:val="00057B28"/>
    <w:rsid w:val="00062DBF"/>
    <w:rsid w:val="00064CA0"/>
    <w:rsid w:val="00064F37"/>
    <w:rsid w:val="0006512F"/>
    <w:rsid w:val="00065516"/>
    <w:rsid w:val="00065C64"/>
    <w:rsid w:val="00070D0F"/>
    <w:rsid w:val="00071DFF"/>
    <w:rsid w:val="00073B0C"/>
    <w:rsid w:val="0007403D"/>
    <w:rsid w:val="000755ED"/>
    <w:rsid w:val="00082A50"/>
    <w:rsid w:val="00083AE5"/>
    <w:rsid w:val="00084369"/>
    <w:rsid w:val="00085592"/>
    <w:rsid w:val="000858CF"/>
    <w:rsid w:val="00085EB0"/>
    <w:rsid w:val="000905E9"/>
    <w:rsid w:val="00091BC8"/>
    <w:rsid w:val="00093126"/>
    <w:rsid w:val="00094B59"/>
    <w:rsid w:val="000A18F0"/>
    <w:rsid w:val="000A2751"/>
    <w:rsid w:val="000A2AE1"/>
    <w:rsid w:val="000A3E64"/>
    <w:rsid w:val="000A43D9"/>
    <w:rsid w:val="000A4CED"/>
    <w:rsid w:val="000A4F0A"/>
    <w:rsid w:val="000A568E"/>
    <w:rsid w:val="000A63E2"/>
    <w:rsid w:val="000A6AC9"/>
    <w:rsid w:val="000A7636"/>
    <w:rsid w:val="000B1022"/>
    <w:rsid w:val="000B1314"/>
    <w:rsid w:val="000B28B3"/>
    <w:rsid w:val="000B2C2F"/>
    <w:rsid w:val="000B485A"/>
    <w:rsid w:val="000B522F"/>
    <w:rsid w:val="000B6CB1"/>
    <w:rsid w:val="000C19BC"/>
    <w:rsid w:val="000C1F86"/>
    <w:rsid w:val="000C34D7"/>
    <w:rsid w:val="000C37D5"/>
    <w:rsid w:val="000C768C"/>
    <w:rsid w:val="000C77F0"/>
    <w:rsid w:val="000D2C1F"/>
    <w:rsid w:val="000D4501"/>
    <w:rsid w:val="000D4CBC"/>
    <w:rsid w:val="000D7583"/>
    <w:rsid w:val="000D7B61"/>
    <w:rsid w:val="000E196B"/>
    <w:rsid w:val="000E2029"/>
    <w:rsid w:val="000E3B55"/>
    <w:rsid w:val="000E5971"/>
    <w:rsid w:val="000E5A8A"/>
    <w:rsid w:val="000E5D0B"/>
    <w:rsid w:val="000E6A52"/>
    <w:rsid w:val="000E7466"/>
    <w:rsid w:val="000F0226"/>
    <w:rsid w:val="000F05D1"/>
    <w:rsid w:val="000F1304"/>
    <w:rsid w:val="000F1EAC"/>
    <w:rsid w:val="000F1F6B"/>
    <w:rsid w:val="000F241A"/>
    <w:rsid w:val="000F25A7"/>
    <w:rsid w:val="000F26CE"/>
    <w:rsid w:val="000F2725"/>
    <w:rsid w:val="000F3B3B"/>
    <w:rsid w:val="000F4B90"/>
    <w:rsid w:val="000F4DF4"/>
    <w:rsid w:val="000F4E6F"/>
    <w:rsid w:val="000F507E"/>
    <w:rsid w:val="000F5BDC"/>
    <w:rsid w:val="000F73DF"/>
    <w:rsid w:val="000F7E26"/>
    <w:rsid w:val="00100906"/>
    <w:rsid w:val="00100DD0"/>
    <w:rsid w:val="00101D8F"/>
    <w:rsid w:val="00102AC9"/>
    <w:rsid w:val="00102D92"/>
    <w:rsid w:val="00102EB5"/>
    <w:rsid w:val="001038AE"/>
    <w:rsid w:val="00103C70"/>
    <w:rsid w:val="00104EB1"/>
    <w:rsid w:val="00105692"/>
    <w:rsid w:val="001063A0"/>
    <w:rsid w:val="00111483"/>
    <w:rsid w:val="00111EF6"/>
    <w:rsid w:val="00112932"/>
    <w:rsid w:val="00112F00"/>
    <w:rsid w:val="00113869"/>
    <w:rsid w:val="00113A35"/>
    <w:rsid w:val="0011551F"/>
    <w:rsid w:val="00115BAA"/>
    <w:rsid w:val="00115BF2"/>
    <w:rsid w:val="00116438"/>
    <w:rsid w:val="00116D3C"/>
    <w:rsid w:val="001171B2"/>
    <w:rsid w:val="001175ED"/>
    <w:rsid w:val="00117C5F"/>
    <w:rsid w:val="001201C1"/>
    <w:rsid w:val="001202C0"/>
    <w:rsid w:val="001212C6"/>
    <w:rsid w:val="0012148F"/>
    <w:rsid w:val="001227E9"/>
    <w:rsid w:val="001267E1"/>
    <w:rsid w:val="00127039"/>
    <w:rsid w:val="00127106"/>
    <w:rsid w:val="0012711D"/>
    <w:rsid w:val="00127BE5"/>
    <w:rsid w:val="00131DD1"/>
    <w:rsid w:val="001325F3"/>
    <w:rsid w:val="0013293E"/>
    <w:rsid w:val="00133DBC"/>
    <w:rsid w:val="001349F2"/>
    <w:rsid w:val="0013551C"/>
    <w:rsid w:val="0013578C"/>
    <w:rsid w:val="00136276"/>
    <w:rsid w:val="001401C1"/>
    <w:rsid w:val="001408BB"/>
    <w:rsid w:val="00140E6D"/>
    <w:rsid w:val="00144E83"/>
    <w:rsid w:val="00145BA1"/>
    <w:rsid w:val="00145EDA"/>
    <w:rsid w:val="00146384"/>
    <w:rsid w:val="001472B2"/>
    <w:rsid w:val="00151070"/>
    <w:rsid w:val="00151301"/>
    <w:rsid w:val="00153DB1"/>
    <w:rsid w:val="00153EC0"/>
    <w:rsid w:val="00155ECF"/>
    <w:rsid w:val="00156137"/>
    <w:rsid w:val="0016163F"/>
    <w:rsid w:val="0016191B"/>
    <w:rsid w:val="00161939"/>
    <w:rsid w:val="00162891"/>
    <w:rsid w:val="00163E86"/>
    <w:rsid w:val="001649C1"/>
    <w:rsid w:val="00165C66"/>
    <w:rsid w:val="001662CE"/>
    <w:rsid w:val="00166FA8"/>
    <w:rsid w:val="0017097B"/>
    <w:rsid w:val="001717FA"/>
    <w:rsid w:val="0017275B"/>
    <w:rsid w:val="00172DED"/>
    <w:rsid w:val="00172F5E"/>
    <w:rsid w:val="0017694A"/>
    <w:rsid w:val="0017782F"/>
    <w:rsid w:val="00177AAE"/>
    <w:rsid w:val="00183C71"/>
    <w:rsid w:val="00183E0F"/>
    <w:rsid w:val="001849A2"/>
    <w:rsid w:val="001852AB"/>
    <w:rsid w:val="0018771C"/>
    <w:rsid w:val="0019277D"/>
    <w:rsid w:val="001930FC"/>
    <w:rsid w:val="001949AD"/>
    <w:rsid w:val="00195D89"/>
    <w:rsid w:val="001A20C7"/>
    <w:rsid w:val="001A32C2"/>
    <w:rsid w:val="001A37CA"/>
    <w:rsid w:val="001A3C3D"/>
    <w:rsid w:val="001A5E1E"/>
    <w:rsid w:val="001A604B"/>
    <w:rsid w:val="001A6B1E"/>
    <w:rsid w:val="001A6F7A"/>
    <w:rsid w:val="001A70CA"/>
    <w:rsid w:val="001A7D79"/>
    <w:rsid w:val="001A7F98"/>
    <w:rsid w:val="001B0B67"/>
    <w:rsid w:val="001B10F5"/>
    <w:rsid w:val="001B1205"/>
    <w:rsid w:val="001B1B1E"/>
    <w:rsid w:val="001B3A20"/>
    <w:rsid w:val="001B4206"/>
    <w:rsid w:val="001B5593"/>
    <w:rsid w:val="001B74D4"/>
    <w:rsid w:val="001C1D3B"/>
    <w:rsid w:val="001C4765"/>
    <w:rsid w:val="001C535D"/>
    <w:rsid w:val="001C5DED"/>
    <w:rsid w:val="001C5E2B"/>
    <w:rsid w:val="001C619C"/>
    <w:rsid w:val="001C720E"/>
    <w:rsid w:val="001C7715"/>
    <w:rsid w:val="001C773A"/>
    <w:rsid w:val="001C77A2"/>
    <w:rsid w:val="001D0C05"/>
    <w:rsid w:val="001D0C9F"/>
    <w:rsid w:val="001D1B55"/>
    <w:rsid w:val="001D46AE"/>
    <w:rsid w:val="001D55C5"/>
    <w:rsid w:val="001D5D71"/>
    <w:rsid w:val="001D6C3B"/>
    <w:rsid w:val="001D6E50"/>
    <w:rsid w:val="001D6E65"/>
    <w:rsid w:val="001D6FAA"/>
    <w:rsid w:val="001E0184"/>
    <w:rsid w:val="001E0408"/>
    <w:rsid w:val="001E13FF"/>
    <w:rsid w:val="001E15FE"/>
    <w:rsid w:val="001E172F"/>
    <w:rsid w:val="001E26FF"/>
    <w:rsid w:val="001E4AC7"/>
    <w:rsid w:val="001E4C95"/>
    <w:rsid w:val="001E4DD0"/>
    <w:rsid w:val="001E5D10"/>
    <w:rsid w:val="001E6001"/>
    <w:rsid w:val="001E7739"/>
    <w:rsid w:val="001E7D3A"/>
    <w:rsid w:val="001F0E74"/>
    <w:rsid w:val="001F3E43"/>
    <w:rsid w:val="001F585C"/>
    <w:rsid w:val="001F5A9E"/>
    <w:rsid w:val="001F6AD0"/>
    <w:rsid w:val="0020106E"/>
    <w:rsid w:val="00201799"/>
    <w:rsid w:val="0020327D"/>
    <w:rsid w:val="00204948"/>
    <w:rsid w:val="00204E67"/>
    <w:rsid w:val="00211DA3"/>
    <w:rsid w:val="00212823"/>
    <w:rsid w:val="00213A45"/>
    <w:rsid w:val="00213F8C"/>
    <w:rsid w:val="00216958"/>
    <w:rsid w:val="00216A8B"/>
    <w:rsid w:val="00216D11"/>
    <w:rsid w:val="00217380"/>
    <w:rsid w:val="00217687"/>
    <w:rsid w:val="00217990"/>
    <w:rsid w:val="00217D98"/>
    <w:rsid w:val="0022005D"/>
    <w:rsid w:val="002207E4"/>
    <w:rsid w:val="00222A2B"/>
    <w:rsid w:val="002237DB"/>
    <w:rsid w:val="002303ED"/>
    <w:rsid w:val="00231315"/>
    <w:rsid w:val="002333ED"/>
    <w:rsid w:val="00233B0F"/>
    <w:rsid w:val="00235DAF"/>
    <w:rsid w:val="00236B5D"/>
    <w:rsid w:val="00236EF4"/>
    <w:rsid w:val="00237137"/>
    <w:rsid w:val="002430D7"/>
    <w:rsid w:val="0024416C"/>
    <w:rsid w:val="00244849"/>
    <w:rsid w:val="00244D68"/>
    <w:rsid w:val="00250A91"/>
    <w:rsid w:val="002534A5"/>
    <w:rsid w:val="002537F3"/>
    <w:rsid w:val="00253B4F"/>
    <w:rsid w:val="00253CAB"/>
    <w:rsid w:val="002605ED"/>
    <w:rsid w:val="002613ED"/>
    <w:rsid w:val="00261B67"/>
    <w:rsid w:val="00262896"/>
    <w:rsid w:val="00262F2A"/>
    <w:rsid w:val="00263194"/>
    <w:rsid w:val="00263233"/>
    <w:rsid w:val="00264800"/>
    <w:rsid w:val="00266362"/>
    <w:rsid w:val="00266CF0"/>
    <w:rsid w:val="00266DD5"/>
    <w:rsid w:val="00267265"/>
    <w:rsid w:val="0026767B"/>
    <w:rsid w:val="00270175"/>
    <w:rsid w:val="00271AD3"/>
    <w:rsid w:val="00273BE5"/>
    <w:rsid w:val="0027422E"/>
    <w:rsid w:val="00280145"/>
    <w:rsid w:val="00280D5C"/>
    <w:rsid w:val="0028193C"/>
    <w:rsid w:val="0028264F"/>
    <w:rsid w:val="00282C62"/>
    <w:rsid w:val="00283C87"/>
    <w:rsid w:val="0028564D"/>
    <w:rsid w:val="002908D0"/>
    <w:rsid w:val="00290916"/>
    <w:rsid w:val="00290F43"/>
    <w:rsid w:val="002912E4"/>
    <w:rsid w:val="002914F4"/>
    <w:rsid w:val="00292234"/>
    <w:rsid w:val="002943E5"/>
    <w:rsid w:val="00294833"/>
    <w:rsid w:val="00295479"/>
    <w:rsid w:val="00295DDB"/>
    <w:rsid w:val="00296572"/>
    <w:rsid w:val="002974E1"/>
    <w:rsid w:val="002A0AC9"/>
    <w:rsid w:val="002A1301"/>
    <w:rsid w:val="002A138F"/>
    <w:rsid w:val="002A1982"/>
    <w:rsid w:val="002A1CD3"/>
    <w:rsid w:val="002A2614"/>
    <w:rsid w:val="002A2A52"/>
    <w:rsid w:val="002A4B2B"/>
    <w:rsid w:val="002A5CEE"/>
    <w:rsid w:val="002A6394"/>
    <w:rsid w:val="002B1185"/>
    <w:rsid w:val="002B1420"/>
    <w:rsid w:val="002B311A"/>
    <w:rsid w:val="002B4706"/>
    <w:rsid w:val="002B7C01"/>
    <w:rsid w:val="002C03C1"/>
    <w:rsid w:val="002C0BD3"/>
    <w:rsid w:val="002C110F"/>
    <w:rsid w:val="002C1E83"/>
    <w:rsid w:val="002C52F6"/>
    <w:rsid w:val="002D0179"/>
    <w:rsid w:val="002D13DD"/>
    <w:rsid w:val="002D164C"/>
    <w:rsid w:val="002D2597"/>
    <w:rsid w:val="002D56E4"/>
    <w:rsid w:val="002D69DD"/>
    <w:rsid w:val="002D7C14"/>
    <w:rsid w:val="002E0683"/>
    <w:rsid w:val="002E0AE6"/>
    <w:rsid w:val="002E1150"/>
    <w:rsid w:val="002E3A00"/>
    <w:rsid w:val="002E3D89"/>
    <w:rsid w:val="002E5075"/>
    <w:rsid w:val="002E5389"/>
    <w:rsid w:val="002E53B2"/>
    <w:rsid w:val="002E5995"/>
    <w:rsid w:val="002E5F1B"/>
    <w:rsid w:val="002F21F1"/>
    <w:rsid w:val="002F22D7"/>
    <w:rsid w:val="002F35EF"/>
    <w:rsid w:val="002F430C"/>
    <w:rsid w:val="002F4F74"/>
    <w:rsid w:val="002F6DBF"/>
    <w:rsid w:val="00300142"/>
    <w:rsid w:val="00301B5D"/>
    <w:rsid w:val="00302357"/>
    <w:rsid w:val="00303313"/>
    <w:rsid w:val="00303D02"/>
    <w:rsid w:val="00304C71"/>
    <w:rsid w:val="00306277"/>
    <w:rsid w:val="00311282"/>
    <w:rsid w:val="003117D2"/>
    <w:rsid w:val="003119D0"/>
    <w:rsid w:val="00312241"/>
    <w:rsid w:val="0031470C"/>
    <w:rsid w:val="00314C5B"/>
    <w:rsid w:val="0031509E"/>
    <w:rsid w:val="0031626A"/>
    <w:rsid w:val="00317DBB"/>
    <w:rsid w:val="003231D8"/>
    <w:rsid w:val="00325C1E"/>
    <w:rsid w:val="00325D9F"/>
    <w:rsid w:val="00325F00"/>
    <w:rsid w:val="0032615D"/>
    <w:rsid w:val="00332677"/>
    <w:rsid w:val="00333E80"/>
    <w:rsid w:val="00333F1A"/>
    <w:rsid w:val="00334D11"/>
    <w:rsid w:val="00335062"/>
    <w:rsid w:val="0033533B"/>
    <w:rsid w:val="0033583F"/>
    <w:rsid w:val="003374D0"/>
    <w:rsid w:val="003378E7"/>
    <w:rsid w:val="00337D6A"/>
    <w:rsid w:val="00340311"/>
    <w:rsid w:val="00340ED2"/>
    <w:rsid w:val="003435D1"/>
    <w:rsid w:val="00346582"/>
    <w:rsid w:val="0034673A"/>
    <w:rsid w:val="00347BC0"/>
    <w:rsid w:val="00350489"/>
    <w:rsid w:val="00350E42"/>
    <w:rsid w:val="00350F22"/>
    <w:rsid w:val="003523A5"/>
    <w:rsid w:val="00352DDE"/>
    <w:rsid w:val="003530F2"/>
    <w:rsid w:val="003535D0"/>
    <w:rsid w:val="00355448"/>
    <w:rsid w:val="003574EB"/>
    <w:rsid w:val="00360B04"/>
    <w:rsid w:val="00361007"/>
    <w:rsid w:val="00361D1E"/>
    <w:rsid w:val="00362544"/>
    <w:rsid w:val="00363AF5"/>
    <w:rsid w:val="00364BC0"/>
    <w:rsid w:val="00364C62"/>
    <w:rsid w:val="0037003D"/>
    <w:rsid w:val="00370C7A"/>
    <w:rsid w:val="00371B52"/>
    <w:rsid w:val="00373B02"/>
    <w:rsid w:val="0037427A"/>
    <w:rsid w:val="003753E4"/>
    <w:rsid w:val="003779E0"/>
    <w:rsid w:val="00377AAE"/>
    <w:rsid w:val="00380367"/>
    <w:rsid w:val="003805B7"/>
    <w:rsid w:val="00381570"/>
    <w:rsid w:val="00381A85"/>
    <w:rsid w:val="0038216A"/>
    <w:rsid w:val="00385CDC"/>
    <w:rsid w:val="00386CA4"/>
    <w:rsid w:val="00386E50"/>
    <w:rsid w:val="00390E35"/>
    <w:rsid w:val="003928C8"/>
    <w:rsid w:val="0039378D"/>
    <w:rsid w:val="003956FE"/>
    <w:rsid w:val="0039751A"/>
    <w:rsid w:val="003A0D0C"/>
    <w:rsid w:val="003A17DF"/>
    <w:rsid w:val="003A2512"/>
    <w:rsid w:val="003A25AF"/>
    <w:rsid w:val="003A35F3"/>
    <w:rsid w:val="003A3C3D"/>
    <w:rsid w:val="003A4C3F"/>
    <w:rsid w:val="003A4DDE"/>
    <w:rsid w:val="003A573A"/>
    <w:rsid w:val="003A7BC7"/>
    <w:rsid w:val="003B0E42"/>
    <w:rsid w:val="003B149F"/>
    <w:rsid w:val="003B21FD"/>
    <w:rsid w:val="003B2B2A"/>
    <w:rsid w:val="003B4B85"/>
    <w:rsid w:val="003B4CDD"/>
    <w:rsid w:val="003C034B"/>
    <w:rsid w:val="003C2D67"/>
    <w:rsid w:val="003C393F"/>
    <w:rsid w:val="003C3E30"/>
    <w:rsid w:val="003C6EA0"/>
    <w:rsid w:val="003C7DF5"/>
    <w:rsid w:val="003C7F69"/>
    <w:rsid w:val="003D0077"/>
    <w:rsid w:val="003D08B8"/>
    <w:rsid w:val="003D117C"/>
    <w:rsid w:val="003D1538"/>
    <w:rsid w:val="003D1BD0"/>
    <w:rsid w:val="003D1CC5"/>
    <w:rsid w:val="003D2F1C"/>
    <w:rsid w:val="003D343A"/>
    <w:rsid w:val="003D34B3"/>
    <w:rsid w:val="003D576A"/>
    <w:rsid w:val="003D58E9"/>
    <w:rsid w:val="003D75D3"/>
    <w:rsid w:val="003E16E2"/>
    <w:rsid w:val="003E1A33"/>
    <w:rsid w:val="003E2224"/>
    <w:rsid w:val="003E2272"/>
    <w:rsid w:val="003E3431"/>
    <w:rsid w:val="003E4A52"/>
    <w:rsid w:val="003E5FFC"/>
    <w:rsid w:val="003E6883"/>
    <w:rsid w:val="003F026C"/>
    <w:rsid w:val="003F1411"/>
    <w:rsid w:val="003F2462"/>
    <w:rsid w:val="003F39CB"/>
    <w:rsid w:val="003F42CB"/>
    <w:rsid w:val="003F6B2A"/>
    <w:rsid w:val="003F7415"/>
    <w:rsid w:val="00401243"/>
    <w:rsid w:val="00401B9C"/>
    <w:rsid w:val="00405933"/>
    <w:rsid w:val="00405997"/>
    <w:rsid w:val="00405BE5"/>
    <w:rsid w:val="00406FA2"/>
    <w:rsid w:val="00407300"/>
    <w:rsid w:val="0040738C"/>
    <w:rsid w:val="00407559"/>
    <w:rsid w:val="00407A90"/>
    <w:rsid w:val="0041032F"/>
    <w:rsid w:val="00410A07"/>
    <w:rsid w:val="0041148D"/>
    <w:rsid w:val="004128BA"/>
    <w:rsid w:val="0041412C"/>
    <w:rsid w:val="00414AD0"/>
    <w:rsid w:val="00414FA4"/>
    <w:rsid w:val="00415F94"/>
    <w:rsid w:val="0041710C"/>
    <w:rsid w:val="00420FF3"/>
    <w:rsid w:val="004210A5"/>
    <w:rsid w:val="00422341"/>
    <w:rsid w:val="00424BDE"/>
    <w:rsid w:val="00424CB6"/>
    <w:rsid w:val="004279B1"/>
    <w:rsid w:val="0043330F"/>
    <w:rsid w:val="004336BB"/>
    <w:rsid w:val="00433CA3"/>
    <w:rsid w:val="00436F3B"/>
    <w:rsid w:val="00440FF0"/>
    <w:rsid w:val="00441675"/>
    <w:rsid w:val="0044292A"/>
    <w:rsid w:val="00442F15"/>
    <w:rsid w:val="004430BC"/>
    <w:rsid w:val="0044639D"/>
    <w:rsid w:val="004503FC"/>
    <w:rsid w:val="004514F2"/>
    <w:rsid w:val="0045377F"/>
    <w:rsid w:val="00453CFD"/>
    <w:rsid w:val="00454537"/>
    <w:rsid w:val="00454752"/>
    <w:rsid w:val="004548BB"/>
    <w:rsid w:val="00454B7C"/>
    <w:rsid w:val="004554B7"/>
    <w:rsid w:val="004556A0"/>
    <w:rsid w:val="004569ED"/>
    <w:rsid w:val="00461483"/>
    <w:rsid w:val="00462EA0"/>
    <w:rsid w:val="00463C8C"/>
    <w:rsid w:val="00463FE4"/>
    <w:rsid w:val="00464FBD"/>
    <w:rsid w:val="004654CA"/>
    <w:rsid w:val="004654E2"/>
    <w:rsid w:val="00466856"/>
    <w:rsid w:val="00466990"/>
    <w:rsid w:val="00466C4B"/>
    <w:rsid w:val="0046718D"/>
    <w:rsid w:val="004701C1"/>
    <w:rsid w:val="00470690"/>
    <w:rsid w:val="00470E0C"/>
    <w:rsid w:val="00471913"/>
    <w:rsid w:val="004737C8"/>
    <w:rsid w:val="00473EE0"/>
    <w:rsid w:val="00473F03"/>
    <w:rsid w:val="00474EC4"/>
    <w:rsid w:val="0047537C"/>
    <w:rsid w:val="0047549B"/>
    <w:rsid w:val="00476884"/>
    <w:rsid w:val="00476927"/>
    <w:rsid w:val="00476CC3"/>
    <w:rsid w:val="00477335"/>
    <w:rsid w:val="00480787"/>
    <w:rsid w:val="00480A44"/>
    <w:rsid w:val="00482330"/>
    <w:rsid w:val="00485EA4"/>
    <w:rsid w:val="004871E1"/>
    <w:rsid w:val="00487744"/>
    <w:rsid w:val="004911B5"/>
    <w:rsid w:val="00491A68"/>
    <w:rsid w:val="0049233B"/>
    <w:rsid w:val="004930AD"/>
    <w:rsid w:val="004936A1"/>
    <w:rsid w:val="00493962"/>
    <w:rsid w:val="004944AA"/>
    <w:rsid w:val="00495CAB"/>
    <w:rsid w:val="00495D40"/>
    <w:rsid w:val="00496754"/>
    <w:rsid w:val="0049693E"/>
    <w:rsid w:val="004A2732"/>
    <w:rsid w:val="004A2F28"/>
    <w:rsid w:val="004A2FF6"/>
    <w:rsid w:val="004A4303"/>
    <w:rsid w:val="004A4620"/>
    <w:rsid w:val="004A62A8"/>
    <w:rsid w:val="004A68A6"/>
    <w:rsid w:val="004A7EA8"/>
    <w:rsid w:val="004B128B"/>
    <w:rsid w:val="004B1652"/>
    <w:rsid w:val="004B1CDA"/>
    <w:rsid w:val="004B207D"/>
    <w:rsid w:val="004B27F4"/>
    <w:rsid w:val="004B381C"/>
    <w:rsid w:val="004B403F"/>
    <w:rsid w:val="004B4BCB"/>
    <w:rsid w:val="004B4FBD"/>
    <w:rsid w:val="004B4FFE"/>
    <w:rsid w:val="004B5002"/>
    <w:rsid w:val="004B6A12"/>
    <w:rsid w:val="004B7D6F"/>
    <w:rsid w:val="004C0752"/>
    <w:rsid w:val="004C441F"/>
    <w:rsid w:val="004C66DD"/>
    <w:rsid w:val="004C77E3"/>
    <w:rsid w:val="004C78B8"/>
    <w:rsid w:val="004D040B"/>
    <w:rsid w:val="004D0A0D"/>
    <w:rsid w:val="004D2392"/>
    <w:rsid w:val="004D2400"/>
    <w:rsid w:val="004D2C54"/>
    <w:rsid w:val="004D3358"/>
    <w:rsid w:val="004D3988"/>
    <w:rsid w:val="004D3CDC"/>
    <w:rsid w:val="004D50EA"/>
    <w:rsid w:val="004D5CFC"/>
    <w:rsid w:val="004D5D3A"/>
    <w:rsid w:val="004D668F"/>
    <w:rsid w:val="004E07FB"/>
    <w:rsid w:val="004E1216"/>
    <w:rsid w:val="004E2E67"/>
    <w:rsid w:val="004E30CB"/>
    <w:rsid w:val="004E4197"/>
    <w:rsid w:val="004E59BA"/>
    <w:rsid w:val="004E6F1A"/>
    <w:rsid w:val="004E7890"/>
    <w:rsid w:val="004E7F89"/>
    <w:rsid w:val="004F0331"/>
    <w:rsid w:val="004F1238"/>
    <w:rsid w:val="004F158B"/>
    <w:rsid w:val="004F1F3C"/>
    <w:rsid w:val="004F2CA2"/>
    <w:rsid w:val="004F3003"/>
    <w:rsid w:val="004F36A6"/>
    <w:rsid w:val="004F63CB"/>
    <w:rsid w:val="004F6AD6"/>
    <w:rsid w:val="004F6D60"/>
    <w:rsid w:val="004F7042"/>
    <w:rsid w:val="005001D6"/>
    <w:rsid w:val="0050188E"/>
    <w:rsid w:val="00501B9C"/>
    <w:rsid w:val="00502480"/>
    <w:rsid w:val="00503AFB"/>
    <w:rsid w:val="00504904"/>
    <w:rsid w:val="005060A7"/>
    <w:rsid w:val="005065D2"/>
    <w:rsid w:val="00506A71"/>
    <w:rsid w:val="005111B6"/>
    <w:rsid w:val="00511C8E"/>
    <w:rsid w:val="00511E7F"/>
    <w:rsid w:val="00512941"/>
    <w:rsid w:val="00512FC9"/>
    <w:rsid w:val="00513DA7"/>
    <w:rsid w:val="00513F86"/>
    <w:rsid w:val="00514E29"/>
    <w:rsid w:val="00515D8A"/>
    <w:rsid w:val="005170C2"/>
    <w:rsid w:val="005201AA"/>
    <w:rsid w:val="00521006"/>
    <w:rsid w:val="005214A8"/>
    <w:rsid w:val="005216CE"/>
    <w:rsid w:val="00521FC1"/>
    <w:rsid w:val="00522E68"/>
    <w:rsid w:val="00523C27"/>
    <w:rsid w:val="0052416F"/>
    <w:rsid w:val="005248AC"/>
    <w:rsid w:val="00526362"/>
    <w:rsid w:val="00526E24"/>
    <w:rsid w:val="00531307"/>
    <w:rsid w:val="00533972"/>
    <w:rsid w:val="00534890"/>
    <w:rsid w:val="00535177"/>
    <w:rsid w:val="00535EAA"/>
    <w:rsid w:val="005374FD"/>
    <w:rsid w:val="00540385"/>
    <w:rsid w:val="0054040D"/>
    <w:rsid w:val="005408DF"/>
    <w:rsid w:val="00542410"/>
    <w:rsid w:val="005429CE"/>
    <w:rsid w:val="005440D5"/>
    <w:rsid w:val="005445EA"/>
    <w:rsid w:val="00546452"/>
    <w:rsid w:val="0055092B"/>
    <w:rsid w:val="00550B07"/>
    <w:rsid w:val="00552DF6"/>
    <w:rsid w:val="00553464"/>
    <w:rsid w:val="00553824"/>
    <w:rsid w:val="00553943"/>
    <w:rsid w:val="00553AA7"/>
    <w:rsid w:val="00553CA0"/>
    <w:rsid w:val="00554132"/>
    <w:rsid w:val="005558BD"/>
    <w:rsid w:val="00555D2F"/>
    <w:rsid w:val="00556140"/>
    <w:rsid w:val="005572F4"/>
    <w:rsid w:val="00561A61"/>
    <w:rsid w:val="00561EB8"/>
    <w:rsid w:val="005627F4"/>
    <w:rsid w:val="00565587"/>
    <w:rsid w:val="0056573E"/>
    <w:rsid w:val="00565DC4"/>
    <w:rsid w:val="00567944"/>
    <w:rsid w:val="005708BD"/>
    <w:rsid w:val="0057177F"/>
    <w:rsid w:val="0057409A"/>
    <w:rsid w:val="00574762"/>
    <w:rsid w:val="0057562F"/>
    <w:rsid w:val="005763EC"/>
    <w:rsid w:val="0057682F"/>
    <w:rsid w:val="00576DCF"/>
    <w:rsid w:val="0057779B"/>
    <w:rsid w:val="00577ED7"/>
    <w:rsid w:val="0058064E"/>
    <w:rsid w:val="00581CDB"/>
    <w:rsid w:val="00582C3F"/>
    <w:rsid w:val="00583158"/>
    <w:rsid w:val="0058375D"/>
    <w:rsid w:val="00584B9A"/>
    <w:rsid w:val="005861A1"/>
    <w:rsid w:val="005878AC"/>
    <w:rsid w:val="00587BEF"/>
    <w:rsid w:val="005900DE"/>
    <w:rsid w:val="00590B63"/>
    <w:rsid w:val="005910A4"/>
    <w:rsid w:val="00591BD4"/>
    <w:rsid w:val="00591DAD"/>
    <w:rsid w:val="005956E7"/>
    <w:rsid w:val="00595ACC"/>
    <w:rsid w:val="00595C97"/>
    <w:rsid w:val="00595D12"/>
    <w:rsid w:val="0059725E"/>
    <w:rsid w:val="005975F3"/>
    <w:rsid w:val="00597767"/>
    <w:rsid w:val="005A07D1"/>
    <w:rsid w:val="005A178A"/>
    <w:rsid w:val="005A1CAE"/>
    <w:rsid w:val="005A23CA"/>
    <w:rsid w:val="005A241F"/>
    <w:rsid w:val="005A2A69"/>
    <w:rsid w:val="005A2CA5"/>
    <w:rsid w:val="005A3283"/>
    <w:rsid w:val="005A48A0"/>
    <w:rsid w:val="005A5243"/>
    <w:rsid w:val="005A6C33"/>
    <w:rsid w:val="005A74CB"/>
    <w:rsid w:val="005B0241"/>
    <w:rsid w:val="005B3E83"/>
    <w:rsid w:val="005B5BA9"/>
    <w:rsid w:val="005B5BDD"/>
    <w:rsid w:val="005B6B68"/>
    <w:rsid w:val="005B738C"/>
    <w:rsid w:val="005B778C"/>
    <w:rsid w:val="005B79CD"/>
    <w:rsid w:val="005B7DA3"/>
    <w:rsid w:val="005C0189"/>
    <w:rsid w:val="005C2CC7"/>
    <w:rsid w:val="005C554D"/>
    <w:rsid w:val="005C63FE"/>
    <w:rsid w:val="005C69D1"/>
    <w:rsid w:val="005C7375"/>
    <w:rsid w:val="005D24AD"/>
    <w:rsid w:val="005D2B37"/>
    <w:rsid w:val="005D369B"/>
    <w:rsid w:val="005D3852"/>
    <w:rsid w:val="005D3C6B"/>
    <w:rsid w:val="005D3D60"/>
    <w:rsid w:val="005D5CC2"/>
    <w:rsid w:val="005D5FBD"/>
    <w:rsid w:val="005D6E0F"/>
    <w:rsid w:val="005E1465"/>
    <w:rsid w:val="005E1E71"/>
    <w:rsid w:val="005E2F02"/>
    <w:rsid w:val="005E350A"/>
    <w:rsid w:val="005E3F16"/>
    <w:rsid w:val="005E41C3"/>
    <w:rsid w:val="005E447A"/>
    <w:rsid w:val="005E529F"/>
    <w:rsid w:val="005E608B"/>
    <w:rsid w:val="005E6E88"/>
    <w:rsid w:val="005E709B"/>
    <w:rsid w:val="005F10D8"/>
    <w:rsid w:val="005F3308"/>
    <w:rsid w:val="005F3F99"/>
    <w:rsid w:val="005F568E"/>
    <w:rsid w:val="005F62F2"/>
    <w:rsid w:val="005F7870"/>
    <w:rsid w:val="0060007A"/>
    <w:rsid w:val="0060070B"/>
    <w:rsid w:val="006009D1"/>
    <w:rsid w:val="00600B48"/>
    <w:rsid w:val="00601B08"/>
    <w:rsid w:val="006028B0"/>
    <w:rsid w:val="0060291B"/>
    <w:rsid w:val="00603BFE"/>
    <w:rsid w:val="0060593A"/>
    <w:rsid w:val="00605C8A"/>
    <w:rsid w:val="00606297"/>
    <w:rsid w:val="00606C1A"/>
    <w:rsid w:val="00606D57"/>
    <w:rsid w:val="0061038C"/>
    <w:rsid w:val="00610A6D"/>
    <w:rsid w:val="0061100D"/>
    <w:rsid w:val="006114B1"/>
    <w:rsid w:val="00613122"/>
    <w:rsid w:val="00613702"/>
    <w:rsid w:val="0061598A"/>
    <w:rsid w:val="006160E4"/>
    <w:rsid w:val="0062075C"/>
    <w:rsid w:val="00620F41"/>
    <w:rsid w:val="00621243"/>
    <w:rsid w:val="00621C9F"/>
    <w:rsid w:val="00623397"/>
    <w:rsid w:val="006243C2"/>
    <w:rsid w:val="006248AD"/>
    <w:rsid w:val="006260EC"/>
    <w:rsid w:val="006265F3"/>
    <w:rsid w:val="00627BF3"/>
    <w:rsid w:val="00633ABE"/>
    <w:rsid w:val="006355B1"/>
    <w:rsid w:val="00635A04"/>
    <w:rsid w:val="00635DF6"/>
    <w:rsid w:val="0063709C"/>
    <w:rsid w:val="00637415"/>
    <w:rsid w:val="00640CE1"/>
    <w:rsid w:val="0064124D"/>
    <w:rsid w:val="0064188C"/>
    <w:rsid w:val="006429E1"/>
    <w:rsid w:val="00642C07"/>
    <w:rsid w:val="006435BE"/>
    <w:rsid w:val="00643747"/>
    <w:rsid w:val="00643855"/>
    <w:rsid w:val="00643A65"/>
    <w:rsid w:val="0064594B"/>
    <w:rsid w:val="00646A93"/>
    <w:rsid w:val="0064704B"/>
    <w:rsid w:val="006477C1"/>
    <w:rsid w:val="00653E50"/>
    <w:rsid w:val="00653FDC"/>
    <w:rsid w:val="0065452E"/>
    <w:rsid w:val="0065540B"/>
    <w:rsid w:val="00655E51"/>
    <w:rsid w:val="00661650"/>
    <w:rsid w:val="00661C73"/>
    <w:rsid w:val="00661F6D"/>
    <w:rsid w:val="00662D10"/>
    <w:rsid w:val="00662D41"/>
    <w:rsid w:val="006638B2"/>
    <w:rsid w:val="00664A05"/>
    <w:rsid w:val="00665368"/>
    <w:rsid w:val="0066590C"/>
    <w:rsid w:val="00666293"/>
    <w:rsid w:val="00667AE5"/>
    <w:rsid w:val="00667B4C"/>
    <w:rsid w:val="00667F6C"/>
    <w:rsid w:val="00672510"/>
    <w:rsid w:val="0067271D"/>
    <w:rsid w:val="006730BB"/>
    <w:rsid w:val="00675321"/>
    <w:rsid w:val="006758F9"/>
    <w:rsid w:val="006776AC"/>
    <w:rsid w:val="00681BEF"/>
    <w:rsid w:val="00682F53"/>
    <w:rsid w:val="0068539A"/>
    <w:rsid w:val="00685C1A"/>
    <w:rsid w:val="006867D0"/>
    <w:rsid w:val="00686CC6"/>
    <w:rsid w:val="00690297"/>
    <w:rsid w:val="006903F8"/>
    <w:rsid w:val="006907CD"/>
    <w:rsid w:val="00691070"/>
    <w:rsid w:val="00692B74"/>
    <w:rsid w:val="0069317B"/>
    <w:rsid w:val="006949C8"/>
    <w:rsid w:val="00694E2E"/>
    <w:rsid w:val="00695951"/>
    <w:rsid w:val="0069642F"/>
    <w:rsid w:val="006965D1"/>
    <w:rsid w:val="00697AF0"/>
    <w:rsid w:val="006A003D"/>
    <w:rsid w:val="006A0B5A"/>
    <w:rsid w:val="006A0B90"/>
    <w:rsid w:val="006A3BCA"/>
    <w:rsid w:val="006A3DCD"/>
    <w:rsid w:val="006A48FF"/>
    <w:rsid w:val="006A51B5"/>
    <w:rsid w:val="006A622D"/>
    <w:rsid w:val="006A7F1F"/>
    <w:rsid w:val="006B0230"/>
    <w:rsid w:val="006B0509"/>
    <w:rsid w:val="006B1FFA"/>
    <w:rsid w:val="006B3701"/>
    <w:rsid w:val="006B3BD8"/>
    <w:rsid w:val="006B7B47"/>
    <w:rsid w:val="006C0EF2"/>
    <w:rsid w:val="006C277D"/>
    <w:rsid w:val="006C2D8A"/>
    <w:rsid w:val="006C346A"/>
    <w:rsid w:val="006C4A65"/>
    <w:rsid w:val="006C5133"/>
    <w:rsid w:val="006C606F"/>
    <w:rsid w:val="006C6555"/>
    <w:rsid w:val="006C6E74"/>
    <w:rsid w:val="006C7287"/>
    <w:rsid w:val="006D0393"/>
    <w:rsid w:val="006D2E50"/>
    <w:rsid w:val="006D30C7"/>
    <w:rsid w:val="006D405C"/>
    <w:rsid w:val="006D5881"/>
    <w:rsid w:val="006D654A"/>
    <w:rsid w:val="006D65DB"/>
    <w:rsid w:val="006D692F"/>
    <w:rsid w:val="006D6C13"/>
    <w:rsid w:val="006D7DB1"/>
    <w:rsid w:val="006E1661"/>
    <w:rsid w:val="006E28BE"/>
    <w:rsid w:val="006E3868"/>
    <w:rsid w:val="006E3B2B"/>
    <w:rsid w:val="006E44B3"/>
    <w:rsid w:val="006E7349"/>
    <w:rsid w:val="006F0298"/>
    <w:rsid w:val="006F08BB"/>
    <w:rsid w:val="006F1069"/>
    <w:rsid w:val="006F176C"/>
    <w:rsid w:val="006F2E14"/>
    <w:rsid w:val="006F4D57"/>
    <w:rsid w:val="00700DD7"/>
    <w:rsid w:val="00701746"/>
    <w:rsid w:val="007021FD"/>
    <w:rsid w:val="007023FC"/>
    <w:rsid w:val="0070351D"/>
    <w:rsid w:val="0070399F"/>
    <w:rsid w:val="00703E72"/>
    <w:rsid w:val="00706BB0"/>
    <w:rsid w:val="00710D12"/>
    <w:rsid w:val="0071135A"/>
    <w:rsid w:val="00713626"/>
    <w:rsid w:val="00716029"/>
    <w:rsid w:val="00716957"/>
    <w:rsid w:val="00717989"/>
    <w:rsid w:val="00720F94"/>
    <w:rsid w:val="00721CD3"/>
    <w:rsid w:val="0072234C"/>
    <w:rsid w:val="00723737"/>
    <w:rsid w:val="0072458C"/>
    <w:rsid w:val="00724637"/>
    <w:rsid w:val="00725E10"/>
    <w:rsid w:val="00726B7F"/>
    <w:rsid w:val="00726F65"/>
    <w:rsid w:val="007274C7"/>
    <w:rsid w:val="00727878"/>
    <w:rsid w:val="007300E9"/>
    <w:rsid w:val="0073040C"/>
    <w:rsid w:val="00730AD9"/>
    <w:rsid w:val="00732BCA"/>
    <w:rsid w:val="00733066"/>
    <w:rsid w:val="00733792"/>
    <w:rsid w:val="00734783"/>
    <w:rsid w:val="00734A96"/>
    <w:rsid w:val="00735B78"/>
    <w:rsid w:val="0073719E"/>
    <w:rsid w:val="00737F56"/>
    <w:rsid w:val="007405C6"/>
    <w:rsid w:val="00740C84"/>
    <w:rsid w:val="00742BF4"/>
    <w:rsid w:val="00744226"/>
    <w:rsid w:val="00744FE9"/>
    <w:rsid w:val="00745014"/>
    <w:rsid w:val="007452B0"/>
    <w:rsid w:val="00745C11"/>
    <w:rsid w:val="00746014"/>
    <w:rsid w:val="00747D9A"/>
    <w:rsid w:val="00750015"/>
    <w:rsid w:val="00750D88"/>
    <w:rsid w:val="00750ED2"/>
    <w:rsid w:val="00750EED"/>
    <w:rsid w:val="00751EF2"/>
    <w:rsid w:val="00753573"/>
    <w:rsid w:val="00754B9B"/>
    <w:rsid w:val="00756025"/>
    <w:rsid w:val="007575B2"/>
    <w:rsid w:val="00757903"/>
    <w:rsid w:val="00757A3A"/>
    <w:rsid w:val="00760C05"/>
    <w:rsid w:val="007617AA"/>
    <w:rsid w:val="00761E25"/>
    <w:rsid w:val="0076244C"/>
    <w:rsid w:val="007636E0"/>
    <w:rsid w:val="0076426C"/>
    <w:rsid w:val="007655A2"/>
    <w:rsid w:val="00765C81"/>
    <w:rsid w:val="00765E28"/>
    <w:rsid w:val="00767E29"/>
    <w:rsid w:val="007704F4"/>
    <w:rsid w:val="00770646"/>
    <w:rsid w:val="0077304D"/>
    <w:rsid w:val="00773F31"/>
    <w:rsid w:val="00774C85"/>
    <w:rsid w:val="00774D8D"/>
    <w:rsid w:val="007754A4"/>
    <w:rsid w:val="00776487"/>
    <w:rsid w:val="007800E0"/>
    <w:rsid w:val="00780315"/>
    <w:rsid w:val="007807B8"/>
    <w:rsid w:val="007846EE"/>
    <w:rsid w:val="00785102"/>
    <w:rsid w:val="0078660B"/>
    <w:rsid w:val="007869EE"/>
    <w:rsid w:val="00786CDF"/>
    <w:rsid w:val="00787074"/>
    <w:rsid w:val="0078764A"/>
    <w:rsid w:val="00787FB9"/>
    <w:rsid w:val="00790121"/>
    <w:rsid w:val="0079026D"/>
    <w:rsid w:val="00791644"/>
    <w:rsid w:val="00791753"/>
    <w:rsid w:val="0079194B"/>
    <w:rsid w:val="007922B9"/>
    <w:rsid w:val="00792AB6"/>
    <w:rsid w:val="00795452"/>
    <w:rsid w:val="007969D2"/>
    <w:rsid w:val="007A01F9"/>
    <w:rsid w:val="007A049D"/>
    <w:rsid w:val="007A0D95"/>
    <w:rsid w:val="007A11A4"/>
    <w:rsid w:val="007A1424"/>
    <w:rsid w:val="007A18C9"/>
    <w:rsid w:val="007A1937"/>
    <w:rsid w:val="007A19B0"/>
    <w:rsid w:val="007A2525"/>
    <w:rsid w:val="007A2812"/>
    <w:rsid w:val="007A3014"/>
    <w:rsid w:val="007A34DC"/>
    <w:rsid w:val="007A3CBB"/>
    <w:rsid w:val="007A4D3A"/>
    <w:rsid w:val="007A7B0D"/>
    <w:rsid w:val="007A7EB6"/>
    <w:rsid w:val="007B09BC"/>
    <w:rsid w:val="007B2080"/>
    <w:rsid w:val="007B3287"/>
    <w:rsid w:val="007B3DB8"/>
    <w:rsid w:val="007B4909"/>
    <w:rsid w:val="007B62B2"/>
    <w:rsid w:val="007B62E5"/>
    <w:rsid w:val="007B6815"/>
    <w:rsid w:val="007B7393"/>
    <w:rsid w:val="007C032E"/>
    <w:rsid w:val="007C083E"/>
    <w:rsid w:val="007C3839"/>
    <w:rsid w:val="007C4838"/>
    <w:rsid w:val="007C5859"/>
    <w:rsid w:val="007C65B7"/>
    <w:rsid w:val="007C75AD"/>
    <w:rsid w:val="007C7E58"/>
    <w:rsid w:val="007D010B"/>
    <w:rsid w:val="007E0089"/>
    <w:rsid w:val="007E0AFC"/>
    <w:rsid w:val="007E13D2"/>
    <w:rsid w:val="007E18F8"/>
    <w:rsid w:val="007E2C75"/>
    <w:rsid w:val="007E3091"/>
    <w:rsid w:val="007E342F"/>
    <w:rsid w:val="007E4D08"/>
    <w:rsid w:val="007E606F"/>
    <w:rsid w:val="007E6294"/>
    <w:rsid w:val="007E79FA"/>
    <w:rsid w:val="007F1B58"/>
    <w:rsid w:val="007F1C96"/>
    <w:rsid w:val="007F1EEE"/>
    <w:rsid w:val="007F226D"/>
    <w:rsid w:val="007F2471"/>
    <w:rsid w:val="007F2BF7"/>
    <w:rsid w:val="007F58E3"/>
    <w:rsid w:val="008000A8"/>
    <w:rsid w:val="00801A72"/>
    <w:rsid w:val="00802364"/>
    <w:rsid w:val="00802F0B"/>
    <w:rsid w:val="00802FCB"/>
    <w:rsid w:val="008043CC"/>
    <w:rsid w:val="00804F8D"/>
    <w:rsid w:val="008054CE"/>
    <w:rsid w:val="00805889"/>
    <w:rsid w:val="00806503"/>
    <w:rsid w:val="00810AB2"/>
    <w:rsid w:val="00811149"/>
    <w:rsid w:val="00812251"/>
    <w:rsid w:val="008132CA"/>
    <w:rsid w:val="0081379E"/>
    <w:rsid w:val="00814198"/>
    <w:rsid w:val="00814CEF"/>
    <w:rsid w:val="00820119"/>
    <w:rsid w:val="008205A3"/>
    <w:rsid w:val="0082093D"/>
    <w:rsid w:val="00823A78"/>
    <w:rsid w:val="008242E1"/>
    <w:rsid w:val="00824847"/>
    <w:rsid w:val="008263CF"/>
    <w:rsid w:val="00827425"/>
    <w:rsid w:val="008275B6"/>
    <w:rsid w:val="00830F30"/>
    <w:rsid w:val="00830FF5"/>
    <w:rsid w:val="00832C77"/>
    <w:rsid w:val="008330BD"/>
    <w:rsid w:val="00833395"/>
    <w:rsid w:val="00833946"/>
    <w:rsid w:val="00834B97"/>
    <w:rsid w:val="008359E8"/>
    <w:rsid w:val="0083740F"/>
    <w:rsid w:val="00840FFB"/>
    <w:rsid w:val="008414E6"/>
    <w:rsid w:val="00841750"/>
    <w:rsid w:val="0084337F"/>
    <w:rsid w:val="00843FC1"/>
    <w:rsid w:val="008446BC"/>
    <w:rsid w:val="008450A2"/>
    <w:rsid w:val="00846599"/>
    <w:rsid w:val="008471F8"/>
    <w:rsid w:val="008473A5"/>
    <w:rsid w:val="00847EBB"/>
    <w:rsid w:val="008512F4"/>
    <w:rsid w:val="0085169C"/>
    <w:rsid w:val="008533F9"/>
    <w:rsid w:val="008537C4"/>
    <w:rsid w:val="00853E41"/>
    <w:rsid w:val="00855653"/>
    <w:rsid w:val="00856E6B"/>
    <w:rsid w:val="00860CB3"/>
    <w:rsid w:val="00861388"/>
    <w:rsid w:val="008622AC"/>
    <w:rsid w:val="00862AF1"/>
    <w:rsid w:val="00862E90"/>
    <w:rsid w:val="008630F6"/>
    <w:rsid w:val="0086310B"/>
    <w:rsid w:val="00863734"/>
    <w:rsid w:val="00866724"/>
    <w:rsid w:val="008674A5"/>
    <w:rsid w:val="008705B7"/>
    <w:rsid w:val="008714FE"/>
    <w:rsid w:val="0087298E"/>
    <w:rsid w:val="008731D3"/>
    <w:rsid w:val="008743AF"/>
    <w:rsid w:val="008745C2"/>
    <w:rsid w:val="00880726"/>
    <w:rsid w:val="00881511"/>
    <w:rsid w:val="00881AC3"/>
    <w:rsid w:val="00882E47"/>
    <w:rsid w:val="00882FD9"/>
    <w:rsid w:val="0088318C"/>
    <w:rsid w:val="00883D19"/>
    <w:rsid w:val="00884D5F"/>
    <w:rsid w:val="00885D12"/>
    <w:rsid w:val="00890E46"/>
    <w:rsid w:val="00892260"/>
    <w:rsid w:val="00892FD2"/>
    <w:rsid w:val="0089352A"/>
    <w:rsid w:val="00893DF8"/>
    <w:rsid w:val="00893F37"/>
    <w:rsid w:val="00894680"/>
    <w:rsid w:val="0089490F"/>
    <w:rsid w:val="00894B35"/>
    <w:rsid w:val="008A0703"/>
    <w:rsid w:val="008A07F6"/>
    <w:rsid w:val="008A248B"/>
    <w:rsid w:val="008A36CB"/>
    <w:rsid w:val="008A4F03"/>
    <w:rsid w:val="008A5316"/>
    <w:rsid w:val="008B1C7F"/>
    <w:rsid w:val="008B1EED"/>
    <w:rsid w:val="008B466B"/>
    <w:rsid w:val="008B47B1"/>
    <w:rsid w:val="008B5837"/>
    <w:rsid w:val="008C06A4"/>
    <w:rsid w:val="008C1595"/>
    <w:rsid w:val="008C24E3"/>
    <w:rsid w:val="008C2A8E"/>
    <w:rsid w:val="008C2EA2"/>
    <w:rsid w:val="008C6DCD"/>
    <w:rsid w:val="008C71AB"/>
    <w:rsid w:val="008C7611"/>
    <w:rsid w:val="008C76FA"/>
    <w:rsid w:val="008D01AC"/>
    <w:rsid w:val="008D0580"/>
    <w:rsid w:val="008D135D"/>
    <w:rsid w:val="008D13D0"/>
    <w:rsid w:val="008D1ABE"/>
    <w:rsid w:val="008D46A6"/>
    <w:rsid w:val="008D48F7"/>
    <w:rsid w:val="008D527F"/>
    <w:rsid w:val="008D53AB"/>
    <w:rsid w:val="008D63C8"/>
    <w:rsid w:val="008D6F4A"/>
    <w:rsid w:val="008E14BA"/>
    <w:rsid w:val="008E2C38"/>
    <w:rsid w:val="008E6397"/>
    <w:rsid w:val="008F070A"/>
    <w:rsid w:val="008F142E"/>
    <w:rsid w:val="008F15F2"/>
    <w:rsid w:val="008F34FB"/>
    <w:rsid w:val="008F3535"/>
    <w:rsid w:val="008F3D0A"/>
    <w:rsid w:val="008F44BD"/>
    <w:rsid w:val="008F6B65"/>
    <w:rsid w:val="008F7871"/>
    <w:rsid w:val="00901508"/>
    <w:rsid w:val="00901E73"/>
    <w:rsid w:val="00902A91"/>
    <w:rsid w:val="00902CE8"/>
    <w:rsid w:val="00902E78"/>
    <w:rsid w:val="00903370"/>
    <w:rsid w:val="009045EE"/>
    <w:rsid w:val="00904B4F"/>
    <w:rsid w:val="00904DA8"/>
    <w:rsid w:val="00907526"/>
    <w:rsid w:val="00907A15"/>
    <w:rsid w:val="0091034C"/>
    <w:rsid w:val="00910AB8"/>
    <w:rsid w:val="009125D2"/>
    <w:rsid w:val="009126A3"/>
    <w:rsid w:val="009128DC"/>
    <w:rsid w:val="009135EF"/>
    <w:rsid w:val="009150E8"/>
    <w:rsid w:val="00915DB1"/>
    <w:rsid w:val="00916265"/>
    <w:rsid w:val="009164FD"/>
    <w:rsid w:val="009169A4"/>
    <w:rsid w:val="00924BED"/>
    <w:rsid w:val="00930494"/>
    <w:rsid w:val="0093074C"/>
    <w:rsid w:val="00930A69"/>
    <w:rsid w:val="00932106"/>
    <w:rsid w:val="009338C7"/>
    <w:rsid w:val="00933E3A"/>
    <w:rsid w:val="00934DE7"/>
    <w:rsid w:val="009359AF"/>
    <w:rsid w:val="009365B1"/>
    <w:rsid w:val="0093780C"/>
    <w:rsid w:val="00937870"/>
    <w:rsid w:val="00940773"/>
    <w:rsid w:val="009420A5"/>
    <w:rsid w:val="00943C7E"/>
    <w:rsid w:val="00945010"/>
    <w:rsid w:val="00945A48"/>
    <w:rsid w:val="00945FFE"/>
    <w:rsid w:val="00946484"/>
    <w:rsid w:val="00946A8F"/>
    <w:rsid w:val="00946DDC"/>
    <w:rsid w:val="00947294"/>
    <w:rsid w:val="009478C4"/>
    <w:rsid w:val="0095096D"/>
    <w:rsid w:val="00950D64"/>
    <w:rsid w:val="009520AF"/>
    <w:rsid w:val="00952473"/>
    <w:rsid w:val="00954501"/>
    <w:rsid w:val="00954A7F"/>
    <w:rsid w:val="00954AD3"/>
    <w:rsid w:val="009554FB"/>
    <w:rsid w:val="00955DEE"/>
    <w:rsid w:val="00960E0C"/>
    <w:rsid w:val="00964F50"/>
    <w:rsid w:val="009653A0"/>
    <w:rsid w:val="00966B74"/>
    <w:rsid w:val="0096775E"/>
    <w:rsid w:val="00967B3E"/>
    <w:rsid w:val="00970199"/>
    <w:rsid w:val="00970A62"/>
    <w:rsid w:val="00970DA2"/>
    <w:rsid w:val="00971CA9"/>
    <w:rsid w:val="009726AC"/>
    <w:rsid w:val="009728D2"/>
    <w:rsid w:val="00973D1C"/>
    <w:rsid w:val="00976E08"/>
    <w:rsid w:val="00980D65"/>
    <w:rsid w:val="009835C5"/>
    <w:rsid w:val="009841E2"/>
    <w:rsid w:val="00984C62"/>
    <w:rsid w:val="00984DF6"/>
    <w:rsid w:val="00985EFE"/>
    <w:rsid w:val="009863F9"/>
    <w:rsid w:val="0098664E"/>
    <w:rsid w:val="00986660"/>
    <w:rsid w:val="0098689C"/>
    <w:rsid w:val="00986D98"/>
    <w:rsid w:val="00986E79"/>
    <w:rsid w:val="009872B4"/>
    <w:rsid w:val="00990AAC"/>
    <w:rsid w:val="009915E9"/>
    <w:rsid w:val="009918E4"/>
    <w:rsid w:val="00992185"/>
    <w:rsid w:val="0099232E"/>
    <w:rsid w:val="009950E7"/>
    <w:rsid w:val="009952AF"/>
    <w:rsid w:val="009975FE"/>
    <w:rsid w:val="009A1920"/>
    <w:rsid w:val="009A21BE"/>
    <w:rsid w:val="009A3474"/>
    <w:rsid w:val="009A40A2"/>
    <w:rsid w:val="009A63D8"/>
    <w:rsid w:val="009A6F35"/>
    <w:rsid w:val="009B01A0"/>
    <w:rsid w:val="009B0445"/>
    <w:rsid w:val="009B05F6"/>
    <w:rsid w:val="009B1E94"/>
    <w:rsid w:val="009B226D"/>
    <w:rsid w:val="009B22C0"/>
    <w:rsid w:val="009B2FA9"/>
    <w:rsid w:val="009B407F"/>
    <w:rsid w:val="009B4236"/>
    <w:rsid w:val="009B5C7B"/>
    <w:rsid w:val="009B5F03"/>
    <w:rsid w:val="009B6CF5"/>
    <w:rsid w:val="009B7EF6"/>
    <w:rsid w:val="009C0A96"/>
    <w:rsid w:val="009C1A11"/>
    <w:rsid w:val="009C3355"/>
    <w:rsid w:val="009C34BE"/>
    <w:rsid w:val="009C3778"/>
    <w:rsid w:val="009C4629"/>
    <w:rsid w:val="009C631B"/>
    <w:rsid w:val="009C6880"/>
    <w:rsid w:val="009C6F92"/>
    <w:rsid w:val="009C70F7"/>
    <w:rsid w:val="009D0111"/>
    <w:rsid w:val="009D144D"/>
    <w:rsid w:val="009D1469"/>
    <w:rsid w:val="009D1ABE"/>
    <w:rsid w:val="009D2CDA"/>
    <w:rsid w:val="009D37E9"/>
    <w:rsid w:val="009D3DC2"/>
    <w:rsid w:val="009D5574"/>
    <w:rsid w:val="009D616C"/>
    <w:rsid w:val="009D64A9"/>
    <w:rsid w:val="009D6A8A"/>
    <w:rsid w:val="009E131F"/>
    <w:rsid w:val="009E20E4"/>
    <w:rsid w:val="009E23F1"/>
    <w:rsid w:val="009E2C61"/>
    <w:rsid w:val="009E3081"/>
    <w:rsid w:val="009E33B1"/>
    <w:rsid w:val="009E3C0E"/>
    <w:rsid w:val="009E3F8F"/>
    <w:rsid w:val="009E425B"/>
    <w:rsid w:val="009E42CE"/>
    <w:rsid w:val="009E52B1"/>
    <w:rsid w:val="009E5DBB"/>
    <w:rsid w:val="009E671F"/>
    <w:rsid w:val="009F022D"/>
    <w:rsid w:val="009F1518"/>
    <w:rsid w:val="009F2F21"/>
    <w:rsid w:val="009F370E"/>
    <w:rsid w:val="009F3A7C"/>
    <w:rsid w:val="009F572C"/>
    <w:rsid w:val="009F7007"/>
    <w:rsid w:val="009F7756"/>
    <w:rsid w:val="00A00E86"/>
    <w:rsid w:val="00A024D0"/>
    <w:rsid w:val="00A02F82"/>
    <w:rsid w:val="00A04896"/>
    <w:rsid w:val="00A0587F"/>
    <w:rsid w:val="00A10703"/>
    <w:rsid w:val="00A13CF7"/>
    <w:rsid w:val="00A15C1B"/>
    <w:rsid w:val="00A1711A"/>
    <w:rsid w:val="00A17AC0"/>
    <w:rsid w:val="00A201FB"/>
    <w:rsid w:val="00A20B07"/>
    <w:rsid w:val="00A20EA5"/>
    <w:rsid w:val="00A22829"/>
    <w:rsid w:val="00A2305A"/>
    <w:rsid w:val="00A23182"/>
    <w:rsid w:val="00A239D0"/>
    <w:rsid w:val="00A248BA"/>
    <w:rsid w:val="00A26216"/>
    <w:rsid w:val="00A2637B"/>
    <w:rsid w:val="00A26FBD"/>
    <w:rsid w:val="00A311CF"/>
    <w:rsid w:val="00A31B8E"/>
    <w:rsid w:val="00A32E32"/>
    <w:rsid w:val="00A359B1"/>
    <w:rsid w:val="00A361D4"/>
    <w:rsid w:val="00A368F9"/>
    <w:rsid w:val="00A36A5D"/>
    <w:rsid w:val="00A3714D"/>
    <w:rsid w:val="00A37554"/>
    <w:rsid w:val="00A40B9B"/>
    <w:rsid w:val="00A4126C"/>
    <w:rsid w:val="00A41AC6"/>
    <w:rsid w:val="00A4220B"/>
    <w:rsid w:val="00A4335F"/>
    <w:rsid w:val="00A43ADE"/>
    <w:rsid w:val="00A43C06"/>
    <w:rsid w:val="00A44575"/>
    <w:rsid w:val="00A459A7"/>
    <w:rsid w:val="00A463B0"/>
    <w:rsid w:val="00A5134E"/>
    <w:rsid w:val="00A524EC"/>
    <w:rsid w:val="00A526A8"/>
    <w:rsid w:val="00A52EF2"/>
    <w:rsid w:val="00A54808"/>
    <w:rsid w:val="00A54D5C"/>
    <w:rsid w:val="00A55C70"/>
    <w:rsid w:val="00A571D0"/>
    <w:rsid w:val="00A60139"/>
    <w:rsid w:val="00A602B3"/>
    <w:rsid w:val="00A60F1F"/>
    <w:rsid w:val="00A61058"/>
    <w:rsid w:val="00A62553"/>
    <w:rsid w:val="00A62A29"/>
    <w:rsid w:val="00A633CC"/>
    <w:rsid w:val="00A664BD"/>
    <w:rsid w:val="00A66559"/>
    <w:rsid w:val="00A715E1"/>
    <w:rsid w:val="00A7176B"/>
    <w:rsid w:val="00A71AE4"/>
    <w:rsid w:val="00A7215A"/>
    <w:rsid w:val="00A73B5F"/>
    <w:rsid w:val="00A73E21"/>
    <w:rsid w:val="00A74A4F"/>
    <w:rsid w:val="00A758F8"/>
    <w:rsid w:val="00A80136"/>
    <w:rsid w:val="00A8127C"/>
    <w:rsid w:val="00A82404"/>
    <w:rsid w:val="00A825CA"/>
    <w:rsid w:val="00A84475"/>
    <w:rsid w:val="00A86DF5"/>
    <w:rsid w:val="00A90EC8"/>
    <w:rsid w:val="00A91E9F"/>
    <w:rsid w:val="00A9292A"/>
    <w:rsid w:val="00A94B3A"/>
    <w:rsid w:val="00AA0F40"/>
    <w:rsid w:val="00AA1164"/>
    <w:rsid w:val="00AA1619"/>
    <w:rsid w:val="00AA1EF7"/>
    <w:rsid w:val="00AA2900"/>
    <w:rsid w:val="00AA5D3E"/>
    <w:rsid w:val="00AB06E8"/>
    <w:rsid w:val="00AB1947"/>
    <w:rsid w:val="00AB2274"/>
    <w:rsid w:val="00AB2627"/>
    <w:rsid w:val="00AB2CC2"/>
    <w:rsid w:val="00AB519B"/>
    <w:rsid w:val="00AB5752"/>
    <w:rsid w:val="00AB5D24"/>
    <w:rsid w:val="00AB64B4"/>
    <w:rsid w:val="00AB6EF0"/>
    <w:rsid w:val="00AC0886"/>
    <w:rsid w:val="00AC19A1"/>
    <w:rsid w:val="00AC19E2"/>
    <w:rsid w:val="00AC24E0"/>
    <w:rsid w:val="00AC32D9"/>
    <w:rsid w:val="00AC5168"/>
    <w:rsid w:val="00AC5177"/>
    <w:rsid w:val="00AC53F9"/>
    <w:rsid w:val="00AC697A"/>
    <w:rsid w:val="00AC74EE"/>
    <w:rsid w:val="00AC7B2F"/>
    <w:rsid w:val="00AD0204"/>
    <w:rsid w:val="00AD087B"/>
    <w:rsid w:val="00AD138E"/>
    <w:rsid w:val="00AD2150"/>
    <w:rsid w:val="00AD2227"/>
    <w:rsid w:val="00AD229A"/>
    <w:rsid w:val="00AD2627"/>
    <w:rsid w:val="00AD3169"/>
    <w:rsid w:val="00AD4303"/>
    <w:rsid w:val="00AD44AF"/>
    <w:rsid w:val="00AD6CBD"/>
    <w:rsid w:val="00AD6EEA"/>
    <w:rsid w:val="00AD7B0B"/>
    <w:rsid w:val="00AE101E"/>
    <w:rsid w:val="00AE1968"/>
    <w:rsid w:val="00AE3A42"/>
    <w:rsid w:val="00AE4ABA"/>
    <w:rsid w:val="00AE4F3C"/>
    <w:rsid w:val="00AE53A5"/>
    <w:rsid w:val="00AE7462"/>
    <w:rsid w:val="00AE77EF"/>
    <w:rsid w:val="00AF0370"/>
    <w:rsid w:val="00AF1F75"/>
    <w:rsid w:val="00AF3162"/>
    <w:rsid w:val="00AF33AD"/>
    <w:rsid w:val="00AF3521"/>
    <w:rsid w:val="00AF4BD8"/>
    <w:rsid w:val="00AF587C"/>
    <w:rsid w:val="00B00435"/>
    <w:rsid w:val="00B00ADF"/>
    <w:rsid w:val="00B00B7F"/>
    <w:rsid w:val="00B01A40"/>
    <w:rsid w:val="00B01C16"/>
    <w:rsid w:val="00B03342"/>
    <w:rsid w:val="00B03F5B"/>
    <w:rsid w:val="00B0427C"/>
    <w:rsid w:val="00B04530"/>
    <w:rsid w:val="00B04CDF"/>
    <w:rsid w:val="00B06085"/>
    <w:rsid w:val="00B071DD"/>
    <w:rsid w:val="00B074C1"/>
    <w:rsid w:val="00B112B5"/>
    <w:rsid w:val="00B11720"/>
    <w:rsid w:val="00B119CC"/>
    <w:rsid w:val="00B129B1"/>
    <w:rsid w:val="00B13115"/>
    <w:rsid w:val="00B135D7"/>
    <w:rsid w:val="00B13C0B"/>
    <w:rsid w:val="00B13ECB"/>
    <w:rsid w:val="00B152DC"/>
    <w:rsid w:val="00B15867"/>
    <w:rsid w:val="00B16EB4"/>
    <w:rsid w:val="00B17FF7"/>
    <w:rsid w:val="00B208CF"/>
    <w:rsid w:val="00B20ED4"/>
    <w:rsid w:val="00B22277"/>
    <w:rsid w:val="00B22944"/>
    <w:rsid w:val="00B22997"/>
    <w:rsid w:val="00B22C88"/>
    <w:rsid w:val="00B24448"/>
    <w:rsid w:val="00B25743"/>
    <w:rsid w:val="00B26E0B"/>
    <w:rsid w:val="00B301C7"/>
    <w:rsid w:val="00B3027C"/>
    <w:rsid w:val="00B3034E"/>
    <w:rsid w:val="00B30F20"/>
    <w:rsid w:val="00B31A2A"/>
    <w:rsid w:val="00B31C26"/>
    <w:rsid w:val="00B322C8"/>
    <w:rsid w:val="00B32564"/>
    <w:rsid w:val="00B3258B"/>
    <w:rsid w:val="00B350C5"/>
    <w:rsid w:val="00B37D7F"/>
    <w:rsid w:val="00B40BAA"/>
    <w:rsid w:val="00B4284E"/>
    <w:rsid w:val="00B434F9"/>
    <w:rsid w:val="00B43E06"/>
    <w:rsid w:val="00B45083"/>
    <w:rsid w:val="00B454D5"/>
    <w:rsid w:val="00B457BA"/>
    <w:rsid w:val="00B4632B"/>
    <w:rsid w:val="00B479B0"/>
    <w:rsid w:val="00B50660"/>
    <w:rsid w:val="00B51F57"/>
    <w:rsid w:val="00B532ED"/>
    <w:rsid w:val="00B53E57"/>
    <w:rsid w:val="00B56CC7"/>
    <w:rsid w:val="00B57A4D"/>
    <w:rsid w:val="00B57C19"/>
    <w:rsid w:val="00B600D4"/>
    <w:rsid w:val="00B602BF"/>
    <w:rsid w:val="00B60A1A"/>
    <w:rsid w:val="00B6197A"/>
    <w:rsid w:val="00B61F67"/>
    <w:rsid w:val="00B6247F"/>
    <w:rsid w:val="00B628ED"/>
    <w:rsid w:val="00B64798"/>
    <w:rsid w:val="00B65995"/>
    <w:rsid w:val="00B66BF0"/>
    <w:rsid w:val="00B670ED"/>
    <w:rsid w:val="00B67AB0"/>
    <w:rsid w:val="00B67B83"/>
    <w:rsid w:val="00B7094B"/>
    <w:rsid w:val="00B70B65"/>
    <w:rsid w:val="00B71930"/>
    <w:rsid w:val="00B75A84"/>
    <w:rsid w:val="00B76BF2"/>
    <w:rsid w:val="00B777A0"/>
    <w:rsid w:val="00B830D1"/>
    <w:rsid w:val="00B8451D"/>
    <w:rsid w:val="00B85EC6"/>
    <w:rsid w:val="00B86312"/>
    <w:rsid w:val="00B8781E"/>
    <w:rsid w:val="00B879C2"/>
    <w:rsid w:val="00B90B70"/>
    <w:rsid w:val="00B931DF"/>
    <w:rsid w:val="00B94851"/>
    <w:rsid w:val="00B959B7"/>
    <w:rsid w:val="00B95CB6"/>
    <w:rsid w:val="00B96955"/>
    <w:rsid w:val="00B976C6"/>
    <w:rsid w:val="00BA0BAA"/>
    <w:rsid w:val="00BA1F7F"/>
    <w:rsid w:val="00BA25F2"/>
    <w:rsid w:val="00BA44C1"/>
    <w:rsid w:val="00BA555B"/>
    <w:rsid w:val="00BA72D6"/>
    <w:rsid w:val="00BB03FE"/>
    <w:rsid w:val="00BB13A8"/>
    <w:rsid w:val="00BB631C"/>
    <w:rsid w:val="00BB7244"/>
    <w:rsid w:val="00BB7C30"/>
    <w:rsid w:val="00BC1147"/>
    <w:rsid w:val="00BC21B5"/>
    <w:rsid w:val="00BC25E0"/>
    <w:rsid w:val="00BC3398"/>
    <w:rsid w:val="00BC35F4"/>
    <w:rsid w:val="00BC5083"/>
    <w:rsid w:val="00BD0F5C"/>
    <w:rsid w:val="00BD18AC"/>
    <w:rsid w:val="00BD1C03"/>
    <w:rsid w:val="00BD2708"/>
    <w:rsid w:val="00BD424C"/>
    <w:rsid w:val="00BD5069"/>
    <w:rsid w:val="00BD6AEF"/>
    <w:rsid w:val="00BE0C42"/>
    <w:rsid w:val="00BE2322"/>
    <w:rsid w:val="00BE29FD"/>
    <w:rsid w:val="00BE3EDD"/>
    <w:rsid w:val="00BE3F57"/>
    <w:rsid w:val="00BE47D5"/>
    <w:rsid w:val="00BE4C18"/>
    <w:rsid w:val="00BE5EED"/>
    <w:rsid w:val="00BF1AAE"/>
    <w:rsid w:val="00BF1BB9"/>
    <w:rsid w:val="00BF1BE1"/>
    <w:rsid w:val="00BF1EC4"/>
    <w:rsid w:val="00BF4262"/>
    <w:rsid w:val="00BF42C9"/>
    <w:rsid w:val="00BF51FC"/>
    <w:rsid w:val="00BF6234"/>
    <w:rsid w:val="00C0184F"/>
    <w:rsid w:val="00C03BB2"/>
    <w:rsid w:val="00C055FC"/>
    <w:rsid w:val="00C05B7C"/>
    <w:rsid w:val="00C065C8"/>
    <w:rsid w:val="00C1066E"/>
    <w:rsid w:val="00C117A4"/>
    <w:rsid w:val="00C119BC"/>
    <w:rsid w:val="00C126FC"/>
    <w:rsid w:val="00C16938"/>
    <w:rsid w:val="00C22273"/>
    <w:rsid w:val="00C22527"/>
    <w:rsid w:val="00C228E8"/>
    <w:rsid w:val="00C22BB3"/>
    <w:rsid w:val="00C250CC"/>
    <w:rsid w:val="00C2679F"/>
    <w:rsid w:val="00C269EA"/>
    <w:rsid w:val="00C27F2C"/>
    <w:rsid w:val="00C30C10"/>
    <w:rsid w:val="00C3161B"/>
    <w:rsid w:val="00C322B5"/>
    <w:rsid w:val="00C3327F"/>
    <w:rsid w:val="00C334BB"/>
    <w:rsid w:val="00C33E4A"/>
    <w:rsid w:val="00C34B6F"/>
    <w:rsid w:val="00C34E60"/>
    <w:rsid w:val="00C35789"/>
    <w:rsid w:val="00C3617A"/>
    <w:rsid w:val="00C36282"/>
    <w:rsid w:val="00C3653E"/>
    <w:rsid w:val="00C3659E"/>
    <w:rsid w:val="00C37467"/>
    <w:rsid w:val="00C37600"/>
    <w:rsid w:val="00C37DF8"/>
    <w:rsid w:val="00C4019A"/>
    <w:rsid w:val="00C4064F"/>
    <w:rsid w:val="00C424C6"/>
    <w:rsid w:val="00C42A2A"/>
    <w:rsid w:val="00C42C95"/>
    <w:rsid w:val="00C42CA6"/>
    <w:rsid w:val="00C42DED"/>
    <w:rsid w:val="00C46431"/>
    <w:rsid w:val="00C4758E"/>
    <w:rsid w:val="00C512F2"/>
    <w:rsid w:val="00C542BB"/>
    <w:rsid w:val="00C567A9"/>
    <w:rsid w:val="00C5749B"/>
    <w:rsid w:val="00C604F5"/>
    <w:rsid w:val="00C6071F"/>
    <w:rsid w:val="00C619D9"/>
    <w:rsid w:val="00C61A26"/>
    <w:rsid w:val="00C62C8B"/>
    <w:rsid w:val="00C62D01"/>
    <w:rsid w:val="00C63749"/>
    <w:rsid w:val="00C64866"/>
    <w:rsid w:val="00C64FAD"/>
    <w:rsid w:val="00C664F6"/>
    <w:rsid w:val="00C66BC6"/>
    <w:rsid w:val="00C676CF"/>
    <w:rsid w:val="00C709F7"/>
    <w:rsid w:val="00C70A48"/>
    <w:rsid w:val="00C71701"/>
    <w:rsid w:val="00C72559"/>
    <w:rsid w:val="00C725BC"/>
    <w:rsid w:val="00C7265C"/>
    <w:rsid w:val="00C740EC"/>
    <w:rsid w:val="00C748EF"/>
    <w:rsid w:val="00C750DD"/>
    <w:rsid w:val="00C75F10"/>
    <w:rsid w:val="00C75F9B"/>
    <w:rsid w:val="00C76D97"/>
    <w:rsid w:val="00C77359"/>
    <w:rsid w:val="00C80251"/>
    <w:rsid w:val="00C82631"/>
    <w:rsid w:val="00C842F0"/>
    <w:rsid w:val="00C8485A"/>
    <w:rsid w:val="00C859E1"/>
    <w:rsid w:val="00C85B9E"/>
    <w:rsid w:val="00C86145"/>
    <w:rsid w:val="00C86766"/>
    <w:rsid w:val="00C86831"/>
    <w:rsid w:val="00C86A33"/>
    <w:rsid w:val="00C86E67"/>
    <w:rsid w:val="00C87CB4"/>
    <w:rsid w:val="00C87E24"/>
    <w:rsid w:val="00C91054"/>
    <w:rsid w:val="00C93105"/>
    <w:rsid w:val="00C93460"/>
    <w:rsid w:val="00C953E6"/>
    <w:rsid w:val="00C9593F"/>
    <w:rsid w:val="00C97F16"/>
    <w:rsid w:val="00CA0406"/>
    <w:rsid w:val="00CA1550"/>
    <w:rsid w:val="00CA1C49"/>
    <w:rsid w:val="00CA2556"/>
    <w:rsid w:val="00CA3655"/>
    <w:rsid w:val="00CA4A53"/>
    <w:rsid w:val="00CA5498"/>
    <w:rsid w:val="00CA57C7"/>
    <w:rsid w:val="00CB0B79"/>
    <w:rsid w:val="00CB117D"/>
    <w:rsid w:val="00CB1992"/>
    <w:rsid w:val="00CB1EBD"/>
    <w:rsid w:val="00CB4033"/>
    <w:rsid w:val="00CB428E"/>
    <w:rsid w:val="00CB4F61"/>
    <w:rsid w:val="00CC1983"/>
    <w:rsid w:val="00CC228F"/>
    <w:rsid w:val="00CC2EE5"/>
    <w:rsid w:val="00CC305E"/>
    <w:rsid w:val="00CD1E5E"/>
    <w:rsid w:val="00CD29C3"/>
    <w:rsid w:val="00CD4A19"/>
    <w:rsid w:val="00CD58F2"/>
    <w:rsid w:val="00CD67F2"/>
    <w:rsid w:val="00CD692E"/>
    <w:rsid w:val="00CD7137"/>
    <w:rsid w:val="00CE03EF"/>
    <w:rsid w:val="00CE2506"/>
    <w:rsid w:val="00CE288A"/>
    <w:rsid w:val="00CE3E21"/>
    <w:rsid w:val="00CE44D8"/>
    <w:rsid w:val="00CE52B8"/>
    <w:rsid w:val="00CE5805"/>
    <w:rsid w:val="00CE5A50"/>
    <w:rsid w:val="00CE75B6"/>
    <w:rsid w:val="00CF036B"/>
    <w:rsid w:val="00CF3C63"/>
    <w:rsid w:val="00CF52DA"/>
    <w:rsid w:val="00CF635E"/>
    <w:rsid w:val="00CF7276"/>
    <w:rsid w:val="00D00BD5"/>
    <w:rsid w:val="00D00CDC"/>
    <w:rsid w:val="00D02464"/>
    <w:rsid w:val="00D02831"/>
    <w:rsid w:val="00D02FE5"/>
    <w:rsid w:val="00D034F3"/>
    <w:rsid w:val="00D03586"/>
    <w:rsid w:val="00D03F66"/>
    <w:rsid w:val="00D047F9"/>
    <w:rsid w:val="00D06019"/>
    <w:rsid w:val="00D1002F"/>
    <w:rsid w:val="00D1061B"/>
    <w:rsid w:val="00D11C5C"/>
    <w:rsid w:val="00D12D0B"/>
    <w:rsid w:val="00D130B3"/>
    <w:rsid w:val="00D1478B"/>
    <w:rsid w:val="00D16C15"/>
    <w:rsid w:val="00D20F36"/>
    <w:rsid w:val="00D21F11"/>
    <w:rsid w:val="00D22791"/>
    <w:rsid w:val="00D22DDD"/>
    <w:rsid w:val="00D23B36"/>
    <w:rsid w:val="00D240E8"/>
    <w:rsid w:val="00D24864"/>
    <w:rsid w:val="00D25387"/>
    <w:rsid w:val="00D26DC3"/>
    <w:rsid w:val="00D2700C"/>
    <w:rsid w:val="00D27B8F"/>
    <w:rsid w:val="00D30538"/>
    <w:rsid w:val="00D30A10"/>
    <w:rsid w:val="00D30CBB"/>
    <w:rsid w:val="00D34C4A"/>
    <w:rsid w:val="00D36ED8"/>
    <w:rsid w:val="00D40DA6"/>
    <w:rsid w:val="00D412A2"/>
    <w:rsid w:val="00D42247"/>
    <w:rsid w:val="00D423A9"/>
    <w:rsid w:val="00D43237"/>
    <w:rsid w:val="00D440BB"/>
    <w:rsid w:val="00D44364"/>
    <w:rsid w:val="00D44DCB"/>
    <w:rsid w:val="00D46B66"/>
    <w:rsid w:val="00D4774F"/>
    <w:rsid w:val="00D479C6"/>
    <w:rsid w:val="00D5142C"/>
    <w:rsid w:val="00D51D1F"/>
    <w:rsid w:val="00D51ECB"/>
    <w:rsid w:val="00D5452D"/>
    <w:rsid w:val="00D54CE2"/>
    <w:rsid w:val="00D54D34"/>
    <w:rsid w:val="00D54F58"/>
    <w:rsid w:val="00D556B1"/>
    <w:rsid w:val="00D55D64"/>
    <w:rsid w:val="00D55E24"/>
    <w:rsid w:val="00D56CF3"/>
    <w:rsid w:val="00D5711B"/>
    <w:rsid w:val="00D5715F"/>
    <w:rsid w:val="00D571C0"/>
    <w:rsid w:val="00D5780A"/>
    <w:rsid w:val="00D57831"/>
    <w:rsid w:val="00D57E23"/>
    <w:rsid w:val="00D60A04"/>
    <w:rsid w:val="00D60E16"/>
    <w:rsid w:val="00D620DC"/>
    <w:rsid w:val="00D631FD"/>
    <w:rsid w:val="00D633BB"/>
    <w:rsid w:val="00D63BF3"/>
    <w:rsid w:val="00D63E41"/>
    <w:rsid w:val="00D63F5D"/>
    <w:rsid w:val="00D65188"/>
    <w:rsid w:val="00D662B7"/>
    <w:rsid w:val="00D66971"/>
    <w:rsid w:val="00D66FE8"/>
    <w:rsid w:val="00D71586"/>
    <w:rsid w:val="00D71C89"/>
    <w:rsid w:val="00D724A2"/>
    <w:rsid w:val="00D76F5F"/>
    <w:rsid w:val="00D800A0"/>
    <w:rsid w:val="00D80F3C"/>
    <w:rsid w:val="00D81B06"/>
    <w:rsid w:val="00D82424"/>
    <w:rsid w:val="00D826A9"/>
    <w:rsid w:val="00D83628"/>
    <w:rsid w:val="00D8461F"/>
    <w:rsid w:val="00D859D2"/>
    <w:rsid w:val="00D87C6B"/>
    <w:rsid w:val="00D92866"/>
    <w:rsid w:val="00D9574F"/>
    <w:rsid w:val="00DA10AF"/>
    <w:rsid w:val="00DA2A97"/>
    <w:rsid w:val="00DA3662"/>
    <w:rsid w:val="00DA425E"/>
    <w:rsid w:val="00DA5790"/>
    <w:rsid w:val="00DA68FD"/>
    <w:rsid w:val="00DA79DF"/>
    <w:rsid w:val="00DB09A8"/>
    <w:rsid w:val="00DB0AC0"/>
    <w:rsid w:val="00DB1985"/>
    <w:rsid w:val="00DB21BC"/>
    <w:rsid w:val="00DB25FE"/>
    <w:rsid w:val="00DB3200"/>
    <w:rsid w:val="00DB48D8"/>
    <w:rsid w:val="00DB4BCB"/>
    <w:rsid w:val="00DB5306"/>
    <w:rsid w:val="00DB55ED"/>
    <w:rsid w:val="00DB56EF"/>
    <w:rsid w:val="00DC032C"/>
    <w:rsid w:val="00DC1EA1"/>
    <w:rsid w:val="00DC1F74"/>
    <w:rsid w:val="00DC54F4"/>
    <w:rsid w:val="00DC5699"/>
    <w:rsid w:val="00DC67C2"/>
    <w:rsid w:val="00DC7717"/>
    <w:rsid w:val="00DD1A35"/>
    <w:rsid w:val="00DD267C"/>
    <w:rsid w:val="00DD2896"/>
    <w:rsid w:val="00DD3816"/>
    <w:rsid w:val="00DD502E"/>
    <w:rsid w:val="00DD5895"/>
    <w:rsid w:val="00DD7E54"/>
    <w:rsid w:val="00DE0C47"/>
    <w:rsid w:val="00DE2A18"/>
    <w:rsid w:val="00DE40AC"/>
    <w:rsid w:val="00DE58A5"/>
    <w:rsid w:val="00DE6004"/>
    <w:rsid w:val="00DF027B"/>
    <w:rsid w:val="00DF08E7"/>
    <w:rsid w:val="00DF1DDB"/>
    <w:rsid w:val="00DF3145"/>
    <w:rsid w:val="00DF66DD"/>
    <w:rsid w:val="00DF6770"/>
    <w:rsid w:val="00DF679F"/>
    <w:rsid w:val="00DF706C"/>
    <w:rsid w:val="00DF72F8"/>
    <w:rsid w:val="00E00CB4"/>
    <w:rsid w:val="00E013C0"/>
    <w:rsid w:val="00E0287F"/>
    <w:rsid w:val="00E06192"/>
    <w:rsid w:val="00E11500"/>
    <w:rsid w:val="00E1203B"/>
    <w:rsid w:val="00E12D31"/>
    <w:rsid w:val="00E13B37"/>
    <w:rsid w:val="00E14354"/>
    <w:rsid w:val="00E15D8B"/>
    <w:rsid w:val="00E16AFE"/>
    <w:rsid w:val="00E16E5D"/>
    <w:rsid w:val="00E20EC9"/>
    <w:rsid w:val="00E23276"/>
    <w:rsid w:val="00E2374E"/>
    <w:rsid w:val="00E2389D"/>
    <w:rsid w:val="00E246E9"/>
    <w:rsid w:val="00E24F92"/>
    <w:rsid w:val="00E2545E"/>
    <w:rsid w:val="00E2590A"/>
    <w:rsid w:val="00E25D5B"/>
    <w:rsid w:val="00E260FA"/>
    <w:rsid w:val="00E26986"/>
    <w:rsid w:val="00E31550"/>
    <w:rsid w:val="00E31F7E"/>
    <w:rsid w:val="00E3216C"/>
    <w:rsid w:val="00E33793"/>
    <w:rsid w:val="00E34003"/>
    <w:rsid w:val="00E34068"/>
    <w:rsid w:val="00E34ADD"/>
    <w:rsid w:val="00E36E68"/>
    <w:rsid w:val="00E3788C"/>
    <w:rsid w:val="00E37F4D"/>
    <w:rsid w:val="00E401E6"/>
    <w:rsid w:val="00E40844"/>
    <w:rsid w:val="00E424E4"/>
    <w:rsid w:val="00E42589"/>
    <w:rsid w:val="00E4370E"/>
    <w:rsid w:val="00E45762"/>
    <w:rsid w:val="00E46A3C"/>
    <w:rsid w:val="00E46ADC"/>
    <w:rsid w:val="00E471D9"/>
    <w:rsid w:val="00E47853"/>
    <w:rsid w:val="00E52A1F"/>
    <w:rsid w:val="00E5350E"/>
    <w:rsid w:val="00E53D17"/>
    <w:rsid w:val="00E5420F"/>
    <w:rsid w:val="00E54272"/>
    <w:rsid w:val="00E54580"/>
    <w:rsid w:val="00E558B4"/>
    <w:rsid w:val="00E558D0"/>
    <w:rsid w:val="00E56A19"/>
    <w:rsid w:val="00E5751E"/>
    <w:rsid w:val="00E603CB"/>
    <w:rsid w:val="00E607D7"/>
    <w:rsid w:val="00E616B2"/>
    <w:rsid w:val="00E62F02"/>
    <w:rsid w:val="00E632EA"/>
    <w:rsid w:val="00E6376A"/>
    <w:rsid w:val="00E63826"/>
    <w:rsid w:val="00E6383E"/>
    <w:rsid w:val="00E65D11"/>
    <w:rsid w:val="00E670AD"/>
    <w:rsid w:val="00E7097C"/>
    <w:rsid w:val="00E70E4A"/>
    <w:rsid w:val="00E711A1"/>
    <w:rsid w:val="00E71673"/>
    <w:rsid w:val="00E716FB"/>
    <w:rsid w:val="00E72F07"/>
    <w:rsid w:val="00E73975"/>
    <w:rsid w:val="00E7453B"/>
    <w:rsid w:val="00E76756"/>
    <w:rsid w:val="00E7799C"/>
    <w:rsid w:val="00E77F63"/>
    <w:rsid w:val="00E806B7"/>
    <w:rsid w:val="00E80B7D"/>
    <w:rsid w:val="00E80FFE"/>
    <w:rsid w:val="00E81182"/>
    <w:rsid w:val="00E815A3"/>
    <w:rsid w:val="00E820F7"/>
    <w:rsid w:val="00E83034"/>
    <w:rsid w:val="00E83222"/>
    <w:rsid w:val="00E914A6"/>
    <w:rsid w:val="00E9201A"/>
    <w:rsid w:val="00E929FB"/>
    <w:rsid w:val="00E936CD"/>
    <w:rsid w:val="00E93BC2"/>
    <w:rsid w:val="00E94741"/>
    <w:rsid w:val="00E9474C"/>
    <w:rsid w:val="00E968F8"/>
    <w:rsid w:val="00EA3326"/>
    <w:rsid w:val="00EA3D1C"/>
    <w:rsid w:val="00EA45A3"/>
    <w:rsid w:val="00EA4C26"/>
    <w:rsid w:val="00EA55FC"/>
    <w:rsid w:val="00EA5BB8"/>
    <w:rsid w:val="00EA711F"/>
    <w:rsid w:val="00EA78E9"/>
    <w:rsid w:val="00EB04B2"/>
    <w:rsid w:val="00EB04FF"/>
    <w:rsid w:val="00EB1505"/>
    <w:rsid w:val="00EB2BFA"/>
    <w:rsid w:val="00EB2E74"/>
    <w:rsid w:val="00EB3838"/>
    <w:rsid w:val="00EB47D1"/>
    <w:rsid w:val="00EB4E97"/>
    <w:rsid w:val="00EB6E7F"/>
    <w:rsid w:val="00EC0286"/>
    <w:rsid w:val="00EC0844"/>
    <w:rsid w:val="00EC384C"/>
    <w:rsid w:val="00EC430B"/>
    <w:rsid w:val="00EC48A6"/>
    <w:rsid w:val="00EC4B90"/>
    <w:rsid w:val="00EC5241"/>
    <w:rsid w:val="00EC5C30"/>
    <w:rsid w:val="00EC6121"/>
    <w:rsid w:val="00EC7371"/>
    <w:rsid w:val="00ED17B9"/>
    <w:rsid w:val="00ED1E73"/>
    <w:rsid w:val="00ED1FC0"/>
    <w:rsid w:val="00ED349C"/>
    <w:rsid w:val="00ED3B13"/>
    <w:rsid w:val="00ED3FEF"/>
    <w:rsid w:val="00ED43D7"/>
    <w:rsid w:val="00ED44EA"/>
    <w:rsid w:val="00ED5288"/>
    <w:rsid w:val="00ED5D19"/>
    <w:rsid w:val="00EE0249"/>
    <w:rsid w:val="00EE0CF8"/>
    <w:rsid w:val="00EE197C"/>
    <w:rsid w:val="00EE1A45"/>
    <w:rsid w:val="00EE2367"/>
    <w:rsid w:val="00EE4D18"/>
    <w:rsid w:val="00EE5A77"/>
    <w:rsid w:val="00EE6C45"/>
    <w:rsid w:val="00EE7950"/>
    <w:rsid w:val="00EF02C1"/>
    <w:rsid w:val="00EF0F1B"/>
    <w:rsid w:val="00EF3350"/>
    <w:rsid w:val="00EF3745"/>
    <w:rsid w:val="00EF41E6"/>
    <w:rsid w:val="00EF4D0E"/>
    <w:rsid w:val="00EF530C"/>
    <w:rsid w:val="00EF6994"/>
    <w:rsid w:val="00EF6DDD"/>
    <w:rsid w:val="00EF778E"/>
    <w:rsid w:val="00EF7D85"/>
    <w:rsid w:val="00F00B12"/>
    <w:rsid w:val="00F00BAE"/>
    <w:rsid w:val="00F00C5C"/>
    <w:rsid w:val="00F02121"/>
    <w:rsid w:val="00F02960"/>
    <w:rsid w:val="00F03B8A"/>
    <w:rsid w:val="00F044FD"/>
    <w:rsid w:val="00F0471A"/>
    <w:rsid w:val="00F0493E"/>
    <w:rsid w:val="00F04CFB"/>
    <w:rsid w:val="00F054E2"/>
    <w:rsid w:val="00F05B74"/>
    <w:rsid w:val="00F05B8F"/>
    <w:rsid w:val="00F07275"/>
    <w:rsid w:val="00F07DE4"/>
    <w:rsid w:val="00F104CB"/>
    <w:rsid w:val="00F10681"/>
    <w:rsid w:val="00F10F57"/>
    <w:rsid w:val="00F121D0"/>
    <w:rsid w:val="00F12315"/>
    <w:rsid w:val="00F13ED8"/>
    <w:rsid w:val="00F13F97"/>
    <w:rsid w:val="00F15407"/>
    <w:rsid w:val="00F20B6F"/>
    <w:rsid w:val="00F212D8"/>
    <w:rsid w:val="00F2166A"/>
    <w:rsid w:val="00F2254A"/>
    <w:rsid w:val="00F22D7F"/>
    <w:rsid w:val="00F22F05"/>
    <w:rsid w:val="00F24D18"/>
    <w:rsid w:val="00F30C72"/>
    <w:rsid w:val="00F346D8"/>
    <w:rsid w:val="00F34BB3"/>
    <w:rsid w:val="00F35BBC"/>
    <w:rsid w:val="00F402F5"/>
    <w:rsid w:val="00F42A4C"/>
    <w:rsid w:val="00F4337B"/>
    <w:rsid w:val="00F43733"/>
    <w:rsid w:val="00F44B26"/>
    <w:rsid w:val="00F47085"/>
    <w:rsid w:val="00F478BE"/>
    <w:rsid w:val="00F5088C"/>
    <w:rsid w:val="00F50C64"/>
    <w:rsid w:val="00F51BBF"/>
    <w:rsid w:val="00F51FC9"/>
    <w:rsid w:val="00F52A8C"/>
    <w:rsid w:val="00F52AB4"/>
    <w:rsid w:val="00F5342B"/>
    <w:rsid w:val="00F54027"/>
    <w:rsid w:val="00F569DF"/>
    <w:rsid w:val="00F573A4"/>
    <w:rsid w:val="00F57D8C"/>
    <w:rsid w:val="00F611EF"/>
    <w:rsid w:val="00F6135E"/>
    <w:rsid w:val="00F616CC"/>
    <w:rsid w:val="00F61FDB"/>
    <w:rsid w:val="00F63EE4"/>
    <w:rsid w:val="00F64A63"/>
    <w:rsid w:val="00F65D82"/>
    <w:rsid w:val="00F66784"/>
    <w:rsid w:val="00F66F2D"/>
    <w:rsid w:val="00F7078A"/>
    <w:rsid w:val="00F7281F"/>
    <w:rsid w:val="00F74679"/>
    <w:rsid w:val="00F74836"/>
    <w:rsid w:val="00F748F0"/>
    <w:rsid w:val="00F750E5"/>
    <w:rsid w:val="00F75DA6"/>
    <w:rsid w:val="00F76ECF"/>
    <w:rsid w:val="00F76F57"/>
    <w:rsid w:val="00F77D46"/>
    <w:rsid w:val="00F80030"/>
    <w:rsid w:val="00F80E23"/>
    <w:rsid w:val="00F81CAD"/>
    <w:rsid w:val="00F81F09"/>
    <w:rsid w:val="00F82093"/>
    <w:rsid w:val="00F82E1C"/>
    <w:rsid w:val="00F872DD"/>
    <w:rsid w:val="00F900CF"/>
    <w:rsid w:val="00F91183"/>
    <w:rsid w:val="00F92566"/>
    <w:rsid w:val="00F925D2"/>
    <w:rsid w:val="00F9269E"/>
    <w:rsid w:val="00F92EAE"/>
    <w:rsid w:val="00F9583C"/>
    <w:rsid w:val="00F95923"/>
    <w:rsid w:val="00F9633C"/>
    <w:rsid w:val="00FA00FA"/>
    <w:rsid w:val="00FA16AD"/>
    <w:rsid w:val="00FA1DEC"/>
    <w:rsid w:val="00FA1F67"/>
    <w:rsid w:val="00FA1FF1"/>
    <w:rsid w:val="00FA385B"/>
    <w:rsid w:val="00FA3E63"/>
    <w:rsid w:val="00FA3E78"/>
    <w:rsid w:val="00FA4080"/>
    <w:rsid w:val="00FA448E"/>
    <w:rsid w:val="00FA4D5B"/>
    <w:rsid w:val="00FA5434"/>
    <w:rsid w:val="00FA6035"/>
    <w:rsid w:val="00FA63EA"/>
    <w:rsid w:val="00FA657C"/>
    <w:rsid w:val="00FA6F91"/>
    <w:rsid w:val="00FA7C3E"/>
    <w:rsid w:val="00FB05C9"/>
    <w:rsid w:val="00FB157C"/>
    <w:rsid w:val="00FB2C4B"/>
    <w:rsid w:val="00FB35A0"/>
    <w:rsid w:val="00FB3C68"/>
    <w:rsid w:val="00FB45E9"/>
    <w:rsid w:val="00FB6023"/>
    <w:rsid w:val="00FB603F"/>
    <w:rsid w:val="00FC0527"/>
    <w:rsid w:val="00FC2032"/>
    <w:rsid w:val="00FC2FD8"/>
    <w:rsid w:val="00FC5C39"/>
    <w:rsid w:val="00FC5D19"/>
    <w:rsid w:val="00FC700F"/>
    <w:rsid w:val="00FC7B12"/>
    <w:rsid w:val="00FC7E63"/>
    <w:rsid w:val="00FD0330"/>
    <w:rsid w:val="00FD0740"/>
    <w:rsid w:val="00FD0B30"/>
    <w:rsid w:val="00FD33BC"/>
    <w:rsid w:val="00FD4139"/>
    <w:rsid w:val="00FD42FF"/>
    <w:rsid w:val="00FD4357"/>
    <w:rsid w:val="00FD4964"/>
    <w:rsid w:val="00FD515B"/>
    <w:rsid w:val="00FD5209"/>
    <w:rsid w:val="00FD5F0F"/>
    <w:rsid w:val="00FE16E9"/>
    <w:rsid w:val="00FE1737"/>
    <w:rsid w:val="00FE2841"/>
    <w:rsid w:val="00FE3402"/>
    <w:rsid w:val="00FE4259"/>
    <w:rsid w:val="00FE4A27"/>
    <w:rsid w:val="00FE5223"/>
    <w:rsid w:val="00FE5742"/>
    <w:rsid w:val="00FE5903"/>
    <w:rsid w:val="00FE5B1A"/>
    <w:rsid w:val="00FE6629"/>
    <w:rsid w:val="00FE6B34"/>
    <w:rsid w:val="00FF15BB"/>
    <w:rsid w:val="00FF1A2D"/>
    <w:rsid w:val="00FF2D37"/>
    <w:rsid w:val="00FF4108"/>
    <w:rsid w:val="00FF4236"/>
    <w:rsid w:val="00FF4D40"/>
    <w:rsid w:val="00FF67D8"/>
    <w:rsid w:val="00FF6BBA"/>
    <w:rsid w:val="00FF75CB"/>
    <w:rsid w:val="00FF7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10" w:unhideWhenUsed="0" w:qFormat="1"/>
    <w:lsdException w:name="heading 5" w:semiHidden="0" w:uiPriority="10" w:unhideWhenUsed="0" w:qFormat="1"/>
    <w:lsdException w:name="heading 6" w:uiPriority="10" w:qFormat="1"/>
    <w:lsdException w:name="heading 7" w:uiPriority="10" w:qFormat="1"/>
    <w:lsdException w:name="heading 8" w:uiPriority="10" w:qFormat="1"/>
    <w:lsdException w:name="heading 9" w:uiPriority="1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caption" w:uiPriority="35"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lock Text" w:qFormat="1"/>
    <w:lsdException w:name="Hyperlink" w:uiPriority="99"/>
    <w:lsdException w:name="Strong" w:semiHidden="0" w:unhideWhenUsed="0" w:qFormat="1"/>
    <w:lsdException w:name="Emphasis" w:semiHidden="0" w:uiPriority="2" w:unhideWhenUsed="0" w:qFormat="1"/>
    <w:lsdException w:name="Normal (Web)" w:uiPriority="99"/>
    <w:lsdException w:name="annotation subject" w:uiPriority="99"/>
    <w:lsdException w:name="No List"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570"/>
    <w:pPr>
      <w:widowControl w:val="0"/>
      <w:autoSpaceDE w:val="0"/>
      <w:autoSpaceDN w:val="0"/>
      <w:adjustRightInd w:val="0"/>
      <w:spacing w:line="360" w:lineRule="auto"/>
      <w:ind w:firstLine="720"/>
      <w:jc w:val="both"/>
    </w:pPr>
    <w:rPr>
      <w:sz w:val="24"/>
      <w:szCs w:val="24"/>
    </w:rPr>
  </w:style>
  <w:style w:type="paragraph" w:styleId="Heading1">
    <w:name w:val="heading 1"/>
    <w:basedOn w:val="Normal"/>
    <w:next w:val="Normal"/>
    <w:qFormat/>
    <w:rsid w:val="00DD267C"/>
    <w:pPr>
      <w:keepNext/>
      <w:widowControl/>
      <w:numPr>
        <w:numId w:val="4"/>
      </w:numPr>
      <w:spacing w:after="120"/>
      <w:jc w:val="center"/>
      <w:outlineLvl w:val="0"/>
    </w:pPr>
    <w:rPr>
      <w:rFonts w:cs="Arial"/>
      <w:b/>
      <w:bCs/>
      <w:kern w:val="32"/>
      <w:szCs w:val="32"/>
    </w:rPr>
  </w:style>
  <w:style w:type="paragraph" w:styleId="Heading2">
    <w:name w:val="heading 2"/>
    <w:basedOn w:val="Normal"/>
    <w:next w:val="Normal"/>
    <w:link w:val="Heading2Char"/>
    <w:uiPriority w:val="9"/>
    <w:qFormat/>
    <w:rsid w:val="00690297"/>
    <w:pPr>
      <w:keepNext/>
      <w:widowControl/>
      <w:numPr>
        <w:numId w:val="5"/>
      </w:numPr>
      <w:spacing w:after="240" w:line="240" w:lineRule="auto"/>
      <w:outlineLvl w:val="1"/>
    </w:pPr>
    <w:rPr>
      <w:rFonts w:cs="Arial"/>
      <w:b/>
      <w:bCs/>
      <w:iCs/>
      <w:szCs w:val="28"/>
    </w:rPr>
  </w:style>
  <w:style w:type="paragraph" w:styleId="Heading3">
    <w:name w:val="heading 3"/>
    <w:basedOn w:val="Normal"/>
    <w:next w:val="Normal"/>
    <w:link w:val="Heading3Char"/>
    <w:uiPriority w:val="9"/>
    <w:qFormat/>
    <w:rsid w:val="000F5BDC"/>
    <w:pPr>
      <w:keepNext/>
      <w:widowControl/>
      <w:numPr>
        <w:numId w:val="23"/>
      </w:numPr>
      <w:spacing w:after="240" w:line="240" w:lineRule="auto"/>
      <w:outlineLvl w:val="2"/>
    </w:pPr>
    <w:rPr>
      <w:rFonts w:cs="Arial"/>
      <w:b/>
      <w:bCs/>
      <w:szCs w:val="26"/>
    </w:rPr>
  </w:style>
  <w:style w:type="paragraph" w:styleId="Heading4">
    <w:name w:val="heading 4"/>
    <w:basedOn w:val="Normal"/>
    <w:next w:val="Normal"/>
    <w:link w:val="Heading4Char"/>
    <w:uiPriority w:val="10"/>
    <w:qFormat/>
    <w:rsid w:val="0064124D"/>
    <w:pPr>
      <w:keepNext/>
      <w:widowControl/>
      <w:numPr>
        <w:numId w:val="40"/>
      </w:numPr>
      <w:spacing w:after="240" w:line="240" w:lineRule="auto"/>
      <w:outlineLvl w:val="3"/>
    </w:pPr>
    <w:rPr>
      <w:b/>
      <w:bCs/>
      <w:szCs w:val="28"/>
    </w:rPr>
  </w:style>
  <w:style w:type="paragraph" w:styleId="Heading5">
    <w:name w:val="heading 5"/>
    <w:basedOn w:val="Normal"/>
    <w:next w:val="Normal"/>
    <w:link w:val="Heading5Char"/>
    <w:uiPriority w:val="10"/>
    <w:qFormat/>
    <w:rsid w:val="00B03342"/>
    <w:pPr>
      <w:keepNext/>
      <w:numPr>
        <w:numId w:val="10"/>
      </w:numPr>
      <w:spacing w:after="360"/>
      <w:outlineLvl w:val="4"/>
    </w:pPr>
    <w:rPr>
      <w:b/>
      <w:bCs/>
      <w:iCs/>
      <w:szCs w:val="26"/>
    </w:rPr>
  </w:style>
  <w:style w:type="paragraph" w:styleId="Heading6">
    <w:name w:val="heading 6"/>
    <w:basedOn w:val="Normal"/>
    <w:next w:val="BodyTextFirstIndent"/>
    <w:link w:val="Heading6Char"/>
    <w:autoRedefine/>
    <w:uiPriority w:val="10"/>
    <w:qFormat/>
    <w:rsid w:val="000F1EAC"/>
    <w:pPr>
      <w:widowControl/>
      <w:tabs>
        <w:tab w:val="num" w:pos="3600"/>
      </w:tabs>
      <w:autoSpaceDE/>
      <w:autoSpaceDN/>
      <w:adjustRightInd/>
      <w:spacing w:after="240"/>
      <w:ind w:left="3600" w:hanging="720"/>
      <w:outlineLvl w:val="5"/>
    </w:pPr>
  </w:style>
  <w:style w:type="paragraph" w:styleId="Heading7">
    <w:name w:val="heading 7"/>
    <w:basedOn w:val="Normal"/>
    <w:link w:val="Heading7Char"/>
    <w:uiPriority w:val="10"/>
    <w:rsid w:val="000F1EAC"/>
    <w:pPr>
      <w:widowControl/>
      <w:tabs>
        <w:tab w:val="num" w:pos="720"/>
      </w:tabs>
      <w:autoSpaceDE/>
      <w:autoSpaceDN/>
      <w:adjustRightInd/>
      <w:spacing w:after="240"/>
      <w:outlineLvl w:val="6"/>
    </w:pPr>
  </w:style>
  <w:style w:type="paragraph" w:styleId="Heading8">
    <w:name w:val="heading 8"/>
    <w:basedOn w:val="Normal"/>
    <w:next w:val="Normal"/>
    <w:link w:val="Heading8Char"/>
    <w:uiPriority w:val="10"/>
    <w:qFormat/>
    <w:rsid w:val="00B64798"/>
    <w:pPr>
      <w:spacing w:before="240" w:after="60"/>
      <w:outlineLvl w:val="7"/>
    </w:pPr>
    <w:rPr>
      <w:i/>
      <w:iCs/>
    </w:rPr>
  </w:style>
  <w:style w:type="paragraph" w:styleId="Heading9">
    <w:name w:val="heading 9"/>
    <w:basedOn w:val="Normal"/>
    <w:link w:val="Heading9Char"/>
    <w:uiPriority w:val="10"/>
    <w:rsid w:val="000F1EAC"/>
    <w:pPr>
      <w:widowControl/>
      <w:tabs>
        <w:tab w:val="num" w:pos="720"/>
      </w:tabs>
      <w:autoSpaceDE/>
      <w:autoSpaceDN/>
      <w:adjustRightInd/>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10"/>
    <w:locked/>
    <w:rsid w:val="00B64798"/>
    <w:rPr>
      <w:i/>
      <w:iCs/>
      <w:sz w:val="24"/>
      <w:szCs w:val="24"/>
      <w:lang w:val="en-US" w:eastAsia="en-US" w:bidi="ar-SA"/>
    </w:rPr>
  </w:style>
  <w:style w:type="character" w:styleId="FootnoteReference">
    <w:name w:val="footnote reference"/>
    <w:aliases w:val="o,fr,Style 3,Style 21,Style 12,Style 11,Style 28,Style 8,Style 4,Style 17,o1,fr1,o2,fr2,o3,fr3,Style 18,(NECG) Footnote Reference,Style 20,Style 7,Style 19,Style 24,Style 5,Style 15,Footnote Reference (EIS),Styl,Style 16,Style 29,FR"/>
    <w:uiPriority w:val="99"/>
    <w:qFormat/>
    <w:rsid w:val="00D047F9"/>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f"/>
    <w:basedOn w:val="Normal"/>
    <w:link w:val="FootnoteTextChar1"/>
    <w:uiPriority w:val="99"/>
    <w:qFormat/>
    <w:rsid w:val="00DB1985"/>
    <w:pPr>
      <w:widowControl/>
      <w:spacing w:after="120" w:line="240" w:lineRule="auto"/>
      <w:ind w:left="720" w:hanging="360"/>
    </w:pPr>
    <w:rPr>
      <w:sz w:val="20"/>
      <w:szCs w:val="20"/>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ink w:val="FootnoteText"/>
    <w:uiPriority w:val="99"/>
    <w:locked/>
    <w:rsid w:val="00DB1985"/>
  </w:style>
  <w:style w:type="paragraph" w:styleId="Header">
    <w:name w:val="header"/>
    <w:basedOn w:val="Normal"/>
    <w:rsid w:val="009653A0"/>
    <w:pPr>
      <w:tabs>
        <w:tab w:val="center" w:pos="4320"/>
        <w:tab w:val="right" w:pos="8640"/>
      </w:tabs>
    </w:pPr>
  </w:style>
  <w:style w:type="paragraph" w:styleId="Footer">
    <w:name w:val="footer"/>
    <w:basedOn w:val="Normal"/>
    <w:rsid w:val="009653A0"/>
    <w:pPr>
      <w:tabs>
        <w:tab w:val="center" w:pos="4320"/>
        <w:tab w:val="right" w:pos="8640"/>
      </w:tabs>
    </w:pPr>
  </w:style>
  <w:style w:type="paragraph" w:styleId="BlockText">
    <w:name w:val="Block Text"/>
    <w:aliases w:val="Bullet Text"/>
    <w:basedOn w:val="Normal"/>
    <w:qFormat/>
    <w:rsid w:val="00726F65"/>
    <w:pPr>
      <w:widowControl/>
      <w:autoSpaceDE/>
      <w:autoSpaceDN/>
      <w:adjustRightInd/>
      <w:spacing w:after="360"/>
      <w:ind w:left="720" w:right="720"/>
    </w:pPr>
    <w:rPr>
      <w:szCs w:val="20"/>
    </w:rPr>
  </w:style>
  <w:style w:type="paragraph" w:styleId="BalloonText">
    <w:name w:val="Balloon Text"/>
    <w:basedOn w:val="Normal"/>
    <w:link w:val="BalloonTextChar"/>
    <w:uiPriority w:val="99"/>
    <w:semiHidden/>
    <w:rsid w:val="006D65DB"/>
    <w:rPr>
      <w:rFonts w:ascii="Tahoma" w:hAnsi="Tahoma" w:cs="Tahoma"/>
      <w:sz w:val="16"/>
      <w:szCs w:val="16"/>
    </w:rPr>
  </w:style>
  <w:style w:type="table" w:styleId="TableGrid">
    <w:name w:val="Table Grid"/>
    <w:basedOn w:val="TableNormal"/>
    <w:uiPriority w:val="59"/>
    <w:rsid w:val="00D02FE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493E"/>
    <w:pPr>
      <w:widowControl/>
      <w:spacing w:after="360"/>
    </w:pPr>
  </w:style>
  <w:style w:type="character" w:customStyle="1" w:styleId="BodyTextChar">
    <w:name w:val="Body Text Char"/>
    <w:link w:val="BodyText"/>
    <w:rsid w:val="00047D05"/>
    <w:rPr>
      <w:sz w:val="24"/>
      <w:szCs w:val="24"/>
      <w:lang w:val="en-US" w:eastAsia="en-US" w:bidi="ar-SA"/>
    </w:rPr>
  </w:style>
  <w:style w:type="paragraph" w:styleId="ListNumber">
    <w:name w:val="List Number"/>
    <w:basedOn w:val="Normal"/>
    <w:rsid w:val="00E31550"/>
    <w:pPr>
      <w:widowControl/>
      <w:numPr>
        <w:numId w:val="2"/>
      </w:numPr>
      <w:spacing w:after="360"/>
      <w:ind w:left="720" w:hanging="720"/>
    </w:pPr>
  </w:style>
  <w:style w:type="character" w:styleId="Hyperlink">
    <w:name w:val="Hyperlink"/>
    <w:uiPriority w:val="99"/>
    <w:rsid w:val="00406FA2"/>
    <w:rPr>
      <w:color w:val="0000FF"/>
      <w:u w:val="single"/>
    </w:rPr>
  </w:style>
  <w:style w:type="paragraph" w:styleId="ListBullet">
    <w:name w:val="List Bullet"/>
    <w:basedOn w:val="Normal"/>
    <w:rsid w:val="00672510"/>
    <w:pPr>
      <w:widowControl/>
      <w:numPr>
        <w:numId w:val="1"/>
      </w:numPr>
      <w:spacing w:after="360"/>
      <w:ind w:left="2160" w:hanging="720"/>
    </w:pPr>
  </w:style>
  <w:style w:type="paragraph" w:styleId="ListBullet2">
    <w:name w:val="List Bullet 2"/>
    <w:basedOn w:val="Normal"/>
    <w:rsid w:val="006F1069"/>
    <w:pPr>
      <w:spacing w:after="360"/>
    </w:pPr>
  </w:style>
  <w:style w:type="paragraph" w:styleId="ListNumber2">
    <w:name w:val="List Number 2"/>
    <w:basedOn w:val="Normal"/>
    <w:rsid w:val="00F24D18"/>
    <w:pPr>
      <w:numPr>
        <w:numId w:val="3"/>
      </w:numPr>
    </w:pPr>
  </w:style>
  <w:style w:type="paragraph" w:styleId="Title">
    <w:name w:val="Title"/>
    <w:basedOn w:val="Normal"/>
    <w:link w:val="TitleChar"/>
    <w:qFormat/>
    <w:rsid w:val="00F24D18"/>
    <w:pPr>
      <w:widowControl/>
      <w:autoSpaceDE/>
      <w:autoSpaceDN/>
      <w:adjustRightInd/>
      <w:spacing w:after="240"/>
      <w:jc w:val="center"/>
    </w:pPr>
    <w:rPr>
      <w:rFonts w:cs="Arial"/>
      <w:b/>
      <w:bCs/>
      <w:kern w:val="28"/>
    </w:rPr>
  </w:style>
  <w:style w:type="character" w:customStyle="1" w:styleId="TitleChar">
    <w:name w:val="Title Char"/>
    <w:link w:val="Title"/>
    <w:rsid w:val="00F24D18"/>
    <w:rPr>
      <w:rFonts w:cs="Arial"/>
      <w:b/>
      <w:bCs/>
      <w:kern w:val="28"/>
      <w:sz w:val="24"/>
      <w:szCs w:val="24"/>
      <w:lang w:val="en-US" w:eastAsia="en-US" w:bidi="ar-SA"/>
    </w:rPr>
  </w:style>
  <w:style w:type="paragraph" w:customStyle="1" w:styleId="StyleHeading3JustifiedLeft05Hanging025Before">
    <w:name w:val="Style Heading 3 + Justified Left:  0.5&quot; Hanging:  0.25&quot; Before: ..."/>
    <w:basedOn w:val="Heading3"/>
    <w:rsid w:val="00112932"/>
    <w:pPr>
      <w:numPr>
        <w:numId w:val="7"/>
      </w:numPr>
    </w:pPr>
    <w:rPr>
      <w:rFonts w:cs="Times New Roman"/>
      <w:szCs w:val="20"/>
    </w:rPr>
  </w:style>
  <w:style w:type="paragraph" w:customStyle="1" w:styleId="StyleHeading4JustifiedLeft075Hanging025Before">
    <w:name w:val="Style Heading 4 + Justified Left:  0.75&quot; Hanging:  0.25&quot; Before:..."/>
    <w:basedOn w:val="Heading4"/>
    <w:rsid w:val="008446BC"/>
    <w:pPr>
      <w:numPr>
        <w:numId w:val="8"/>
      </w:numPr>
      <w:ind w:left="2160" w:hanging="720"/>
    </w:pPr>
    <w:rPr>
      <w:szCs w:val="20"/>
    </w:rPr>
  </w:style>
  <w:style w:type="paragraph" w:customStyle="1" w:styleId="NormalFirstline05">
    <w:name w:val="Normal + First line:  0.5&quot;"/>
    <w:aliases w:val="Line spacing:  1.5 lines,Normal + First line:  0.51&quot;"/>
    <w:basedOn w:val="Heading1"/>
    <w:rsid w:val="00A0587F"/>
    <w:pPr>
      <w:numPr>
        <w:numId w:val="0"/>
      </w:numPr>
      <w:autoSpaceDE/>
      <w:autoSpaceDN/>
      <w:adjustRightInd/>
      <w:spacing w:after="240"/>
      <w:jc w:val="both"/>
    </w:pPr>
    <w:rPr>
      <w:rFonts w:cs="Times New Roman"/>
      <w:color w:val="000000"/>
      <w:kern w:val="0"/>
    </w:rPr>
  </w:style>
  <w:style w:type="paragraph" w:customStyle="1" w:styleId="ItemList">
    <w:name w:val="Item List"/>
    <w:basedOn w:val="Normal"/>
    <w:rsid w:val="005E709B"/>
    <w:pPr>
      <w:widowControl/>
      <w:autoSpaceDE/>
      <w:autoSpaceDN/>
      <w:adjustRightInd/>
      <w:spacing w:before="360"/>
      <w:ind w:left="720" w:hanging="720"/>
    </w:pPr>
    <w:rPr>
      <w:szCs w:val="20"/>
    </w:rPr>
  </w:style>
  <w:style w:type="character" w:styleId="PageNumber">
    <w:name w:val="page number"/>
    <w:basedOn w:val="DefaultParagraphFont"/>
    <w:rsid w:val="00754B9B"/>
  </w:style>
  <w:style w:type="character" w:customStyle="1" w:styleId="FootnoteTextChar2Char1">
    <w:name w:val="Footnote Text Char2 Char1"/>
    <w:aliases w:val="Footnote Text Char Char Char1,Footnote Text Char2 Char Char Char1,Footnote Text Char Char Char1 Char Char1,Footnote Text Char2 Char Char Char1 Char Char1,Footnote Text Char Char Char1 Char Char Char1 Char1"/>
    <w:semiHidden/>
    <w:rsid w:val="00065C64"/>
    <w:rPr>
      <w:lang w:val="en-US" w:eastAsia="en-US" w:bidi="ar-SA"/>
    </w:rPr>
  </w:style>
  <w:style w:type="paragraph" w:styleId="TOC1">
    <w:name w:val="toc 1"/>
    <w:basedOn w:val="Normal"/>
    <w:next w:val="Normal"/>
    <w:autoRedefine/>
    <w:uiPriority w:val="39"/>
    <w:unhideWhenUsed/>
    <w:qFormat/>
    <w:rsid w:val="00EB1505"/>
    <w:pPr>
      <w:widowControl/>
      <w:tabs>
        <w:tab w:val="right" w:leader="dot" w:pos="9350"/>
      </w:tabs>
      <w:autoSpaceDE/>
      <w:autoSpaceDN/>
      <w:adjustRightInd/>
      <w:spacing w:after="120"/>
      <w:ind w:left="720" w:hanging="720"/>
    </w:pPr>
    <w:rPr>
      <w:rFonts w:eastAsiaTheme="minorHAnsi" w:cstheme="minorBidi"/>
      <w:b/>
      <w:noProof/>
    </w:rPr>
  </w:style>
  <w:style w:type="paragraph" w:styleId="TOC2">
    <w:name w:val="toc 2"/>
    <w:basedOn w:val="Normal"/>
    <w:next w:val="Normal"/>
    <w:autoRedefine/>
    <w:uiPriority w:val="39"/>
    <w:unhideWhenUsed/>
    <w:qFormat/>
    <w:rsid w:val="00EB1505"/>
    <w:pPr>
      <w:widowControl/>
      <w:tabs>
        <w:tab w:val="right" w:leader="dot" w:pos="9360"/>
      </w:tabs>
      <w:autoSpaceDE/>
      <w:autoSpaceDN/>
      <w:adjustRightInd/>
      <w:spacing w:after="240" w:line="240" w:lineRule="auto"/>
      <w:ind w:left="1440" w:right="720" w:hanging="720"/>
    </w:pPr>
    <w:rPr>
      <w:rFonts w:eastAsiaTheme="minorHAnsi" w:cstheme="minorBidi"/>
      <w:b/>
      <w:noProof/>
    </w:rPr>
  </w:style>
  <w:style w:type="paragraph" w:styleId="TOC3">
    <w:name w:val="toc 3"/>
    <w:basedOn w:val="Normal"/>
    <w:next w:val="Normal"/>
    <w:autoRedefine/>
    <w:uiPriority w:val="39"/>
    <w:unhideWhenUsed/>
    <w:qFormat/>
    <w:rsid w:val="00EB1505"/>
    <w:pPr>
      <w:widowControl/>
      <w:tabs>
        <w:tab w:val="right" w:leader="dot" w:pos="9350"/>
      </w:tabs>
      <w:autoSpaceDE/>
      <w:autoSpaceDN/>
      <w:adjustRightInd/>
      <w:spacing w:after="120"/>
      <w:ind w:left="2160" w:hanging="720"/>
    </w:pPr>
    <w:rPr>
      <w:rFonts w:eastAsiaTheme="minorHAnsi" w:cstheme="minorBidi"/>
      <w:b/>
    </w:rPr>
  </w:style>
  <w:style w:type="paragraph" w:styleId="TOC4">
    <w:name w:val="toc 4"/>
    <w:basedOn w:val="Normal"/>
    <w:next w:val="Normal"/>
    <w:autoRedefine/>
    <w:uiPriority w:val="39"/>
    <w:unhideWhenUsed/>
    <w:qFormat/>
    <w:rsid w:val="00A90EC8"/>
    <w:pPr>
      <w:widowControl/>
      <w:tabs>
        <w:tab w:val="right" w:leader="dot" w:pos="9360"/>
      </w:tabs>
      <w:autoSpaceDE/>
      <w:autoSpaceDN/>
      <w:adjustRightInd/>
      <w:spacing w:after="240" w:line="240" w:lineRule="auto"/>
      <w:ind w:left="2880" w:right="720" w:hanging="720"/>
      <w:contextualSpacing/>
    </w:pPr>
    <w:rPr>
      <w:rFonts w:eastAsiaTheme="minorHAnsi" w:cstheme="minorBidi"/>
      <w:b/>
      <w:noProof/>
    </w:rPr>
  </w:style>
  <w:style w:type="character" w:customStyle="1" w:styleId="FootnoteTextChar2Char">
    <w:name w:val="Footnote Text Char2 Char"/>
    <w:aliases w:val="Footnote Text Char Char Char,Footnote Text Char2 Char Char Char,Footnote Text Char Char Char1 Char Char,Footnote Text Char2 Char Char Char1 Char Char,Footnote Text Char Char Char1 Char Char Char1 Char,Footnote Text Char Char1"/>
    <w:semiHidden/>
    <w:rsid w:val="00065C64"/>
    <w:rPr>
      <w:lang w:val="en-US" w:eastAsia="en-US" w:bidi="ar-SA"/>
    </w:rPr>
  </w:style>
  <w:style w:type="paragraph" w:styleId="Caption">
    <w:name w:val="caption"/>
    <w:basedOn w:val="Normal"/>
    <w:next w:val="Normal"/>
    <w:uiPriority w:val="35"/>
    <w:qFormat/>
    <w:rsid w:val="00846599"/>
    <w:pPr>
      <w:widowControl/>
      <w:autoSpaceDE/>
      <w:autoSpaceDN/>
      <w:adjustRightInd/>
    </w:pPr>
    <w:rPr>
      <w:szCs w:val="20"/>
    </w:rPr>
  </w:style>
  <w:style w:type="paragraph" w:styleId="ListParagraph">
    <w:name w:val="List Paragraph"/>
    <w:basedOn w:val="Normal"/>
    <w:link w:val="ListParagraphChar"/>
    <w:uiPriority w:val="34"/>
    <w:qFormat/>
    <w:rsid w:val="006F1069"/>
    <w:pPr>
      <w:widowControl/>
      <w:autoSpaceDE/>
      <w:autoSpaceDN/>
      <w:adjustRightInd/>
      <w:ind w:left="720"/>
    </w:pPr>
  </w:style>
  <w:style w:type="paragraph" w:customStyle="1" w:styleId="LGPUCFootnote">
    <w:name w:val="LG PUC Footnote"/>
    <w:basedOn w:val="Normal"/>
    <w:link w:val="LGPUCFootnoteChar"/>
    <w:rsid w:val="00862AF1"/>
    <w:pPr>
      <w:keepNext/>
      <w:widowControl/>
      <w:tabs>
        <w:tab w:val="left" w:pos="1080"/>
      </w:tabs>
      <w:autoSpaceDE/>
      <w:autoSpaceDN/>
      <w:adjustRightInd/>
      <w:spacing w:before="120" w:line="240" w:lineRule="exact"/>
    </w:pPr>
    <w:rPr>
      <w:sz w:val="20"/>
      <w:szCs w:val="20"/>
    </w:rPr>
  </w:style>
  <w:style w:type="character" w:customStyle="1" w:styleId="LGPUCFootnoteChar">
    <w:name w:val="LG PUC Footnote Char"/>
    <w:link w:val="LGPUCFootnote"/>
    <w:locked/>
    <w:rsid w:val="00862AF1"/>
    <w:rPr>
      <w:lang w:val="en-US" w:eastAsia="en-US" w:bidi="ar-SA"/>
    </w:rPr>
  </w:style>
  <w:style w:type="paragraph" w:customStyle="1" w:styleId="BodyText05DS">
    <w:name w:val="Body Text 0.5&quot; DS"/>
    <w:basedOn w:val="Normal"/>
    <w:link w:val="BodyText05DSChar"/>
    <w:rsid w:val="00F20B6F"/>
    <w:pPr>
      <w:widowControl/>
      <w:autoSpaceDE/>
      <w:autoSpaceDN/>
      <w:adjustRightInd/>
      <w:spacing w:line="480" w:lineRule="auto"/>
    </w:pPr>
    <w:rPr>
      <w:lang w:val="x-none" w:eastAsia="x-none"/>
    </w:rPr>
  </w:style>
  <w:style w:type="character" w:customStyle="1" w:styleId="BodyText05DSChar">
    <w:name w:val="Body Text 0.5&quot; DS Char"/>
    <w:link w:val="BodyText05DS"/>
    <w:locked/>
    <w:rsid w:val="00F20B6F"/>
    <w:rPr>
      <w:sz w:val="24"/>
      <w:szCs w:val="24"/>
      <w:lang w:val="x-none" w:eastAsia="x-none" w:bidi="ar-SA"/>
    </w:rPr>
  </w:style>
  <w:style w:type="paragraph" w:customStyle="1" w:styleId="BodyText05SS">
    <w:name w:val="Body Text 0.5&quot; SS"/>
    <w:basedOn w:val="Normal"/>
    <w:rsid w:val="00F20B6F"/>
    <w:pPr>
      <w:widowControl/>
      <w:autoSpaceDE/>
      <w:autoSpaceDN/>
      <w:adjustRightInd/>
      <w:spacing w:after="240"/>
    </w:pPr>
    <w:rPr>
      <w:lang w:val="x-none" w:eastAsia="x-none"/>
    </w:rPr>
  </w:style>
  <w:style w:type="paragraph" w:customStyle="1" w:styleId="COLNumbered">
    <w:name w:val="COL Numbered"/>
    <w:basedOn w:val="Normal"/>
    <w:uiPriority w:val="99"/>
    <w:rsid w:val="002D2597"/>
    <w:pPr>
      <w:widowControl/>
      <w:numPr>
        <w:numId w:val="16"/>
      </w:numPr>
      <w:autoSpaceDE/>
      <w:autoSpaceDN/>
      <w:adjustRightInd/>
      <w:spacing w:before="120"/>
    </w:pPr>
    <w:rPr>
      <w:rFonts w:eastAsia="Calibri"/>
      <w:szCs w:val="20"/>
    </w:rPr>
  </w:style>
  <w:style w:type="paragraph" w:customStyle="1" w:styleId="QuickI">
    <w:name w:val="Quick I."/>
    <w:basedOn w:val="Normal"/>
    <w:uiPriority w:val="99"/>
    <w:rsid w:val="0073719E"/>
    <w:pPr>
      <w:autoSpaceDE/>
      <w:autoSpaceDN/>
      <w:adjustRightInd/>
    </w:pPr>
    <w:rPr>
      <w:rFonts w:ascii="Arial" w:hAnsi="Arial" w:cs="Arial"/>
    </w:rPr>
  </w:style>
  <w:style w:type="paragraph" w:customStyle="1" w:styleId="QuestionwQ">
    <w:name w:val="Question w/Q."/>
    <w:basedOn w:val="Normal"/>
    <w:next w:val="Normal"/>
    <w:rsid w:val="009F2F21"/>
    <w:pPr>
      <w:widowControl/>
      <w:overflowPunct w:val="0"/>
      <w:spacing w:before="240" w:line="480" w:lineRule="auto"/>
      <w:ind w:left="720" w:hanging="720"/>
    </w:pPr>
    <w:rPr>
      <w:b/>
      <w:szCs w:val="20"/>
    </w:rPr>
  </w:style>
  <w:style w:type="paragraph" w:styleId="BodyTextFirstIndent">
    <w:name w:val="Body Text First Indent"/>
    <w:basedOn w:val="BodyText"/>
    <w:link w:val="BodyTextFirstIndentChar"/>
    <w:qFormat/>
    <w:rsid w:val="0037003D"/>
    <w:pPr>
      <w:widowControl w:val="0"/>
      <w:spacing w:after="120" w:line="240" w:lineRule="auto"/>
      <w:ind w:firstLine="210"/>
      <w:jc w:val="left"/>
    </w:pPr>
  </w:style>
  <w:style w:type="character" w:customStyle="1" w:styleId="FootnoteTextChar">
    <w:name w:val="Footnote Text Char"/>
    <w:aliases w:val="Style 13 Char,Style 22 Char,Style 12 Char,Style 9 Char,fn Char,Footnote Text Char Char Char Char Char Char Char Char Char Char,BG Footnote Text Char,TBG Style Char,footnote text1 Char,Car Char,Footnote Text Char Char1 Char,Char Char"/>
    <w:uiPriority w:val="99"/>
    <w:locked/>
    <w:rsid w:val="00A524EC"/>
    <w:rPr>
      <w:lang w:val="en-US" w:eastAsia="en-US" w:bidi="ar-SA"/>
    </w:rPr>
  </w:style>
  <w:style w:type="character" w:customStyle="1" w:styleId="FootnoteTextChar1CharChar">
    <w:name w:val="Footnote Text Char1 Char Char"/>
    <w:aliases w:val="Footnote Text Char Char Char Char,Footnote Text Char1 Char Char Char Char,ALTS FOOTNOTE Char Char Char Char Char,fn Char Char Char Char Char,Footnote Text Char Char Char Char Char Char,Footnote Text Char1 Char Char1"/>
    <w:rsid w:val="00A524EC"/>
    <w:rPr>
      <w:lang w:val="en-US" w:eastAsia="en-US" w:bidi="ar-SA"/>
    </w:rPr>
  </w:style>
  <w:style w:type="character" w:styleId="CommentReference">
    <w:name w:val="annotation reference"/>
    <w:uiPriority w:val="99"/>
    <w:semiHidden/>
    <w:rsid w:val="004944AA"/>
    <w:rPr>
      <w:rFonts w:cs="Times New Roman"/>
      <w:sz w:val="16"/>
      <w:szCs w:val="16"/>
    </w:rPr>
  </w:style>
  <w:style w:type="paragraph" w:customStyle="1" w:styleId="PCROutline1">
    <w:name w:val="PCR Outline1"/>
    <w:uiPriority w:val="99"/>
    <w:rsid w:val="003C3E30"/>
    <w:pPr>
      <w:keepNext/>
      <w:numPr>
        <w:numId w:val="17"/>
      </w:numPr>
      <w:tabs>
        <w:tab w:val="left" w:pos="720"/>
      </w:tabs>
      <w:spacing w:after="240"/>
      <w:jc w:val="center"/>
      <w:outlineLvl w:val="0"/>
    </w:pPr>
    <w:rPr>
      <w:rFonts w:eastAsia="Calibri"/>
      <w:b/>
      <w:sz w:val="24"/>
      <w:szCs w:val="24"/>
    </w:rPr>
  </w:style>
  <w:style w:type="paragraph" w:customStyle="1" w:styleId="PCROutline2">
    <w:name w:val="PCR Outline2"/>
    <w:uiPriority w:val="99"/>
    <w:rsid w:val="003C3E30"/>
    <w:pPr>
      <w:keepNext/>
      <w:numPr>
        <w:ilvl w:val="1"/>
        <w:numId w:val="17"/>
      </w:numPr>
      <w:spacing w:after="240"/>
      <w:ind w:left="720"/>
      <w:jc w:val="both"/>
      <w:outlineLvl w:val="1"/>
    </w:pPr>
    <w:rPr>
      <w:rFonts w:eastAsia="Calibri"/>
      <w:b/>
      <w:sz w:val="24"/>
      <w:szCs w:val="24"/>
    </w:rPr>
  </w:style>
  <w:style w:type="paragraph" w:customStyle="1" w:styleId="PCROutline3">
    <w:name w:val="PCR Outline3"/>
    <w:uiPriority w:val="99"/>
    <w:rsid w:val="003C3E30"/>
    <w:pPr>
      <w:keepNext/>
      <w:numPr>
        <w:ilvl w:val="2"/>
        <w:numId w:val="17"/>
      </w:numPr>
      <w:tabs>
        <w:tab w:val="left" w:pos="1440"/>
      </w:tabs>
      <w:spacing w:after="240"/>
      <w:ind w:left="1440"/>
      <w:jc w:val="both"/>
      <w:outlineLvl w:val="2"/>
    </w:pPr>
    <w:rPr>
      <w:rFonts w:eastAsia="Calibri"/>
      <w:b/>
      <w:sz w:val="24"/>
      <w:szCs w:val="24"/>
    </w:rPr>
  </w:style>
  <w:style w:type="paragraph" w:customStyle="1" w:styleId="PCROutline4">
    <w:name w:val="PCR Outline4"/>
    <w:uiPriority w:val="99"/>
    <w:rsid w:val="003C3E30"/>
    <w:pPr>
      <w:keepNext/>
      <w:numPr>
        <w:ilvl w:val="3"/>
        <w:numId w:val="17"/>
      </w:numPr>
      <w:tabs>
        <w:tab w:val="left" w:pos="2160"/>
      </w:tabs>
      <w:spacing w:after="240"/>
      <w:ind w:left="2160"/>
      <w:jc w:val="both"/>
      <w:outlineLvl w:val="3"/>
    </w:pPr>
    <w:rPr>
      <w:rFonts w:eastAsia="Calibri"/>
      <w:b/>
      <w:sz w:val="24"/>
      <w:szCs w:val="24"/>
    </w:rPr>
  </w:style>
  <w:style w:type="paragraph" w:customStyle="1" w:styleId="PCROutline5">
    <w:name w:val="PCR Outline5"/>
    <w:uiPriority w:val="99"/>
    <w:rsid w:val="003C3E30"/>
    <w:pPr>
      <w:keepNext/>
      <w:numPr>
        <w:ilvl w:val="4"/>
        <w:numId w:val="17"/>
      </w:numPr>
      <w:spacing w:after="240"/>
      <w:jc w:val="both"/>
      <w:outlineLvl w:val="4"/>
    </w:pPr>
    <w:rPr>
      <w:rFonts w:eastAsia="Calibri"/>
      <w:b/>
      <w:sz w:val="24"/>
      <w:szCs w:val="24"/>
    </w:rPr>
  </w:style>
  <w:style w:type="paragraph" w:customStyle="1" w:styleId="PCROutline6">
    <w:name w:val="PCR Outline6"/>
    <w:uiPriority w:val="99"/>
    <w:rsid w:val="003C3E30"/>
    <w:pPr>
      <w:numPr>
        <w:ilvl w:val="5"/>
        <w:numId w:val="17"/>
      </w:numPr>
      <w:spacing w:after="240"/>
      <w:jc w:val="both"/>
      <w:outlineLvl w:val="5"/>
    </w:pPr>
    <w:rPr>
      <w:rFonts w:eastAsia="Calibri"/>
      <w:b/>
      <w:sz w:val="24"/>
      <w:szCs w:val="24"/>
    </w:rPr>
  </w:style>
  <w:style w:type="paragraph" w:customStyle="1" w:styleId="PCROutline7">
    <w:name w:val="PCR Outline7"/>
    <w:uiPriority w:val="99"/>
    <w:rsid w:val="003C3E30"/>
    <w:pPr>
      <w:numPr>
        <w:ilvl w:val="6"/>
        <w:numId w:val="17"/>
      </w:numPr>
      <w:spacing w:after="240"/>
      <w:jc w:val="both"/>
      <w:outlineLvl w:val="6"/>
    </w:pPr>
    <w:rPr>
      <w:rFonts w:eastAsia="Calibri"/>
      <w:b/>
      <w:sz w:val="24"/>
      <w:szCs w:val="24"/>
    </w:rPr>
  </w:style>
  <w:style w:type="paragraph" w:customStyle="1" w:styleId="PCROutline8">
    <w:name w:val="PCR Outline8"/>
    <w:uiPriority w:val="99"/>
    <w:rsid w:val="003C3E30"/>
    <w:pPr>
      <w:numPr>
        <w:ilvl w:val="7"/>
        <w:numId w:val="17"/>
      </w:numPr>
      <w:spacing w:after="240"/>
      <w:jc w:val="both"/>
      <w:outlineLvl w:val="7"/>
    </w:pPr>
    <w:rPr>
      <w:rFonts w:eastAsia="Calibri"/>
      <w:b/>
      <w:sz w:val="24"/>
      <w:szCs w:val="24"/>
    </w:rPr>
  </w:style>
  <w:style w:type="paragraph" w:customStyle="1" w:styleId="PCROutline9">
    <w:name w:val="PCR Outline9"/>
    <w:uiPriority w:val="99"/>
    <w:rsid w:val="003C3E30"/>
    <w:pPr>
      <w:numPr>
        <w:ilvl w:val="8"/>
        <w:numId w:val="17"/>
      </w:numPr>
      <w:spacing w:after="240"/>
      <w:jc w:val="both"/>
      <w:outlineLvl w:val="8"/>
    </w:pPr>
    <w:rPr>
      <w:rFonts w:eastAsia="Calibri"/>
      <w:b/>
      <w:sz w:val="24"/>
      <w:szCs w:val="24"/>
    </w:rPr>
  </w:style>
  <w:style w:type="paragraph" w:customStyle="1" w:styleId="BodyTextcont">
    <w:name w:val="Body Text cont."/>
    <w:basedOn w:val="BodyText"/>
    <w:rsid w:val="003C2D67"/>
    <w:pPr>
      <w:autoSpaceDE/>
      <w:autoSpaceDN/>
      <w:adjustRightInd/>
      <w:spacing w:after="0" w:line="480" w:lineRule="auto"/>
      <w:ind w:firstLine="0"/>
    </w:pPr>
    <w:rPr>
      <w:szCs w:val="20"/>
    </w:rPr>
  </w:style>
  <w:style w:type="paragraph" w:customStyle="1" w:styleId="LGBodyTextDD">
    <w:name w:val="LG BodyTextDD"/>
    <w:basedOn w:val="BodyText"/>
    <w:link w:val="LGBodyTextDDChar"/>
    <w:rsid w:val="003C2D67"/>
    <w:pPr>
      <w:tabs>
        <w:tab w:val="left" w:pos="720"/>
      </w:tabs>
      <w:autoSpaceDE/>
      <w:autoSpaceDN/>
      <w:adjustRightInd/>
      <w:spacing w:after="0" w:line="520" w:lineRule="exact"/>
    </w:pPr>
    <w:rPr>
      <w:szCs w:val="20"/>
    </w:rPr>
  </w:style>
  <w:style w:type="character" w:customStyle="1" w:styleId="LGBodyTextDDChar">
    <w:name w:val="LG BodyTextDD Char"/>
    <w:link w:val="LGBodyTextDD"/>
    <w:locked/>
    <w:rsid w:val="003C2D67"/>
    <w:rPr>
      <w:sz w:val="24"/>
      <w:lang w:val="en-US" w:eastAsia="en-US" w:bidi="ar-SA"/>
    </w:rPr>
  </w:style>
  <w:style w:type="paragraph" w:customStyle="1" w:styleId="Quote1">
    <w:name w:val="Quote 1&quot;"/>
    <w:basedOn w:val="Normal"/>
    <w:rsid w:val="00CA1C49"/>
    <w:pPr>
      <w:widowControl/>
      <w:autoSpaceDE/>
      <w:autoSpaceDN/>
      <w:adjustRightInd/>
      <w:spacing w:after="240"/>
      <w:ind w:left="1440" w:right="1440"/>
    </w:pPr>
    <w:rPr>
      <w:lang w:val="x-none" w:eastAsia="x-none"/>
    </w:rPr>
  </w:style>
  <w:style w:type="paragraph" w:customStyle="1" w:styleId="LGBlockText">
    <w:name w:val="LG BlockText"/>
    <w:basedOn w:val="BlockText"/>
    <w:next w:val="Normal"/>
    <w:rsid w:val="001B74D4"/>
    <w:pPr>
      <w:spacing w:before="240" w:after="240"/>
      <w:ind w:left="1440" w:right="1440"/>
    </w:pPr>
  </w:style>
  <w:style w:type="paragraph" w:styleId="ListBullet3">
    <w:name w:val="List Bullet 3"/>
    <w:basedOn w:val="Normal"/>
    <w:rsid w:val="00217687"/>
    <w:pPr>
      <w:numPr>
        <w:ilvl w:val="1"/>
        <w:numId w:val="9"/>
      </w:numPr>
    </w:pPr>
  </w:style>
  <w:style w:type="paragraph" w:styleId="ListBullet4">
    <w:name w:val="List Bullet 4"/>
    <w:basedOn w:val="Normal"/>
    <w:link w:val="ListBullet4Char"/>
    <w:rsid w:val="00217687"/>
    <w:pPr>
      <w:numPr>
        <w:numId w:val="18"/>
      </w:numPr>
    </w:pPr>
  </w:style>
  <w:style w:type="character" w:customStyle="1" w:styleId="ListBullet4Char">
    <w:name w:val="List Bullet 4 Char"/>
    <w:link w:val="ListBullet4"/>
    <w:rsid w:val="00217687"/>
    <w:rPr>
      <w:sz w:val="24"/>
      <w:szCs w:val="24"/>
    </w:rPr>
  </w:style>
  <w:style w:type="paragraph" w:styleId="ListBullet5">
    <w:name w:val="List Bullet 5"/>
    <w:basedOn w:val="Normal"/>
    <w:link w:val="ListBullet5Char"/>
    <w:rsid w:val="00217687"/>
  </w:style>
  <w:style w:type="character" w:customStyle="1" w:styleId="ListBullet5Char">
    <w:name w:val="List Bullet 5 Char"/>
    <w:link w:val="ListBullet5"/>
    <w:rsid w:val="00217687"/>
    <w:rPr>
      <w:sz w:val="24"/>
      <w:szCs w:val="24"/>
      <w:lang w:val="en-US" w:eastAsia="en-US" w:bidi="ar-SA"/>
    </w:rPr>
  </w:style>
  <w:style w:type="paragraph" w:customStyle="1" w:styleId="StyleListBullet5Bold">
    <w:name w:val="Style List Bullet 5 + Bold"/>
    <w:basedOn w:val="ListBullet5"/>
    <w:link w:val="StyleListBullet5BoldChar"/>
    <w:rsid w:val="00217687"/>
    <w:pPr>
      <w:numPr>
        <w:numId w:val="19"/>
      </w:numPr>
      <w:spacing w:after="360"/>
    </w:pPr>
    <w:rPr>
      <w:b/>
      <w:bCs/>
    </w:rPr>
  </w:style>
  <w:style w:type="character" w:customStyle="1" w:styleId="StyleListBullet5BoldChar">
    <w:name w:val="Style List Bullet 5 + Bold Char"/>
    <w:link w:val="StyleListBullet5Bold"/>
    <w:rsid w:val="00217687"/>
    <w:rPr>
      <w:b/>
      <w:bCs/>
      <w:sz w:val="24"/>
      <w:szCs w:val="24"/>
    </w:rPr>
  </w:style>
  <w:style w:type="paragraph" w:customStyle="1" w:styleId="StyleListBullet5Bold1">
    <w:name w:val="Style List Bullet 5 + Bold1"/>
    <w:basedOn w:val="ListBullet5"/>
    <w:link w:val="StyleListBullet5Bold1Char"/>
    <w:rsid w:val="00217687"/>
    <w:pPr>
      <w:numPr>
        <w:numId w:val="20"/>
      </w:numPr>
    </w:pPr>
    <w:rPr>
      <w:b/>
      <w:bCs/>
    </w:rPr>
  </w:style>
  <w:style w:type="character" w:customStyle="1" w:styleId="StyleListBullet5Bold1Char">
    <w:name w:val="Style List Bullet 5 + Bold1 Char"/>
    <w:link w:val="StyleListBullet5Bold1"/>
    <w:rsid w:val="00217687"/>
    <w:rPr>
      <w:b/>
      <w:bCs/>
      <w:sz w:val="24"/>
      <w:szCs w:val="24"/>
    </w:rPr>
  </w:style>
  <w:style w:type="paragraph" w:customStyle="1" w:styleId="StyleListBullet4Bold">
    <w:name w:val="Style List Bullet 4 + Bold"/>
    <w:basedOn w:val="ListBullet4"/>
    <w:link w:val="StyleListBullet4BoldChar"/>
    <w:rsid w:val="00217687"/>
    <w:pPr>
      <w:spacing w:after="360"/>
    </w:pPr>
    <w:rPr>
      <w:b/>
      <w:bCs/>
    </w:rPr>
  </w:style>
  <w:style w:type="character" w:customStyle="1" w:styleId="StyleListBullet4BoldChar">
    <w:name w:val="Style List Bullet 4 + Bold Char"/>
    <w:link w:val="StyleListBullet4Bold"/>
    <w:rsid w:val="00217687"/>
    <w:rPr>
      <w:b/>
      <w:bCs/>
      <w:sz w:val="24"/>
      <w:szCs w:val="24"/>
    </w:rPr>
  </w:style>
  <w:style w:type="paragraph" w:customStyle="1" w:styleId="NormalLeft0">
    <w:name w:val="Normal + Left:  0&quot;"/>
    <w:aliases w:val="Hanging:  0.5&quot;,Line spacing:  Double"/>
    <w:basedOn w:val="NormalWeb"/>
    <w:link w:val="NormalLeft0Char"/>
    <w:rsid w:val="003535D0"/>
    <w:pPr>
      <w:widowControl/>
      <w:autoSpaceDE/>
      <w:autoSpaceDN/>
      <w:adjustRightInd/>
      <w:spacing w:line="480" w:lineRule="auto"/>
    </w:pPr>
  </w:style>
  <w:style w:type="paragraph" w:styleId="NormalWeb">
    <w:name w:val="Normal (Web)"/>
    <w:basedOn w:val="Normal"/>
    <w:uiPriority w:val="99"/>
    <w:rsid w:val="003535D0"/>
  </w:style>
  <w:style w:type="character" w:customStyle="1" w:styleId="NormalLeft0Char">
    <w:name w:val="Normal + Left:  0&quot; Char"/>
    <w:aliases w:val="Hanging:  0.5&quot; Char,Line spacing:  Double Char Char"/>
    <w:link w:val="NormalLeft0"/>
    <w:locked/>
    <w:rsid w:val="003535D0"/>
    <w:rPr>
      <w:sz w:val="24"/>
      <w:szCs w:val="24"/>
      <w:lang w:val="en-US" w:eastAsia="en-US" w:bidi="ar-SA"/>
    </w:rPr>
  </w:style>
  <w:style w:type="character" w:customStyle="1" w:styleId="evdictionarytext1">
    <w:name w:val="evdictionarytext1"/>
    <w:rsid w:val="00DB56EF"/>
    <w:rPr>
      <w:rFonts w:ascii="Arial" w:hAnsi="Arial" w:cs="Arial" w:hint="default"/>
      <w:b w:val="0"/>
      <w:bCs w:val="0"/>
      <w:color w:val="000000"/>
      <w:sz w:val="20"/>
      <w:szCs w:val="20"/>
    </w:rPr>
  </w:style>
  <w:style w:type="paragraph" w:styleId="CommentText">
    <w:name w:val="annotation text"/>
    <w:basedOn w:val="Normal"/>
    <w:link w:val="CommentTextChar"/>
    <w:uiPriority w:val="99"/>
    <w:rsid w:val="00DF1DDB"/>
    <w:rPr>
      <w:sz w:val="20"/>
      <w:szCs w:val="20"/>
    </w:rPr>
  </w:style>
  <w:style w:type="character" w:customStyle="1" w:styleId="CommentTextChar">
    <w:name w:val="Comment Text Char"/>
    <w:basedOn w:val="DefaultParagraphFont"/>
    <w:link w:val="CommentText"/>
    <w:uiPriority w:val="99"/>
    <w:rsid w:val="00DF1DDB"/>
  </w:style>
  <w:style w:type="paragraph" w:styleId="CommentSubject">
    <w:name w:val="annotation subject"/>
    <w:basedOn w:val="CommentText"/>
    <w:next w:val="CommentText"/>
    <w:link w:val="CommentSubjectChar"/>
    <w:uiPriority w:val="99"/>
    <w:rsid w:val="00DF1DDB"/>
    <w:rPr>
      <w:b/>
      <w:bCs/>
    </w:rPr>
  </w:style>
  <w:style w:type="character" w:customStyle="1" w:styleId="CommentSubjectChar">
    <w:name w:val="Comment Subject Char"/>
    <w:link w:val="CommentSubject"/>
    <w:uiPriority w:val="99"/>
    <w:rsid w:val="00DF1DDB"/>
    <w:rPr>
      <w:b/>
      <w:bCs/>
    </w:rPr>
  </w:style>
  <w:style w:type="paragraph" w:styleId="TOC5">
    <w:name w:val="toc 5"/>
    <w:basedOn w:val="Normal"/>
    <w:next w:val="Normal"/>
    <w:autoRedefine/>
    <w:uiPriority w:val="39"/>
    <w:unhideWhenUsed/>
    <w:qFormat/>
    <w:rsid w:val="00A201FB"/>
    <w:pPr>
      <w:widowControl/>
      <w:tabs>
        <w:tab w:val="left" w:pos="2880"/>
        <w:tab w:val="right" w:leader="dot" w:pos="9350"/>
      </w:tabs>
      <w:autoSpaceDE/>
      <w:autoSpaceDN/>
      <w:adjustRightInd/>
      <w:spacing w:after="240"/>
      <w:ind w:left="3600" w:hanging="720"/>
      <w:contextualSpacing/>
    </w:pPr>
    <w:rPr>
      <w:rFonts w:eastAsiaTheme="minorHAnsi" w:cstheme="minorBidi"/>
      <w:b/>
      <w:noProof/>
    </w:rPr>
  </w:style>
  <w:style w:type="paragraph" w:styleId="TOC6">
    <w:name w:val="toc 6"/>
    <w:basedOn w:val="Normal"/>
    <w:next w:val="Normal"/>
    <w:autoRedefine/>
    <w:uiPriority w:val="39"/>
    <w:unhideWhenUsed/>
    <w:rsid w:val="00D43237"/>
    <w:pPr>
      <w:widowControl/>
      <w:autoSpaceDE/>
      <w:autoSpaceDN/>
      <w:adjustRightInd/>
      <w:spacing w:after="100"/>
      <w:ind w:left="1200"/>
    </w:pPr>
    <w:rPr>
      <w:rFonts w:eastAsiaTheme="minorHAnsi" w:cstheme="minorBidi"/>
      <w:b/>
    </w:rPr>
  </w:style>
  <w:style w:type="paragraph" w:styleId="TOC7">
    <w:name w:val="toc 7"/>
    <w:basedOn w:val="Normal"/>
    <w:next w:val="Normal"/>
    <w:autoRedefine/>
    <w:uiPriority w:val="39"/>
    <w:unhideWhenUsed/>
    <w:rsid w:val="00D43237"/>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D54F58"/>
    <w:pPr>
      <w:widowControl/>
      <w:autoSpaceDE/>
      <w:autoSpaceDN/>
      <w:adjustRightInd/>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D54F58"/>
    <w:pPr>
      <w:widowControl/>
      <w:autoSpaceDE/>
      <w:autoSpaceDN/>
      <w:adjustRightInd/>
      <w:spacing w:after="100" w:line="276" w:lineRule="auto"/>
      <w:ind w:left="1760"/>
    </w:pPr>
    <w:rPr>
      <w:rFonts w:ascii="Calibri" w:hAnsi="Calibri"/>
      <w:sz w:val="22"/>
      <w:szCs w:val="22"/>
    </w:rPr>
  </w:style>
  <w:style w:type="paragraph" w:customStyle="1" w:styleId="Testimony">
    <w:name w:val="Testimony"/>
    <w:qFormat/>
    <w:rsid w:val="00290F43"/>
    <w:pPr>
      <w:spacing w:line="480" w:lineRule="auto"/>
      <w:ind w:left="720" w:hanging="720"/>
      <w:jc w:val="both"/>
    </w:pPr>
    <w:rPr>
      <w:sz w:val="24"/>
      <w:szCs w:val="24"/>
    </w:rPr>
  </w:style>
  <w:style w:type="character" w:customStyle="1" w:styleId="BodyTextFirstIndentChar">
    <w:name w:val="Body Text First Indent Char"/>
    <w:link w:val="BodyTextFirstIndent"/>
    <w:rsid w:val="00B60A1A"/>
    <w:rPr>
      <w:sz w:val="24"/>
      <w:szCs w:val="24"/>
    </w:rPr>
  </w:style>
  <w:style w:type="paragraph" w:customStyle="1" w:styleId="Footnote">
    <w:name w:val="Footnote"/>
    <w:basedOn w:val="FootnoteText"/>
    <w:link w:val="FootnoteChar"/>
    <w:autoRedefine/>
    <w:uiPriority w:val="99"/>
    <w:qFormat/>
    <w:rsid w:val="00B60A1A"/>
    <w:pPr>
      <w:tabs>
        <w:tab w:val="left" w:pos="432"/>
      </w:tabs>
      <w:autoSpaceDE/>
      <w:autoSpaceDN/>
      <w:adjustRightInd/>
      <w:ind w:firstLine="720"/>
    </w:pPr>
  </w:style>
  <w:style w:type="paragraph" w:customStyle="1" w:styleId="Citationfor111">
    <w:name w:val="Citation for 1.1.1"/>
    <w:basedOn w:val="Normal"/>
    <w:link w:val="Citationfor111Char"/>
    <w:qFormat/>
    <w:rsid w:val="00FD4139"/>
    <w:pPr>
      <w:widowControl/>
      <w:autoSpaceDE/>
      <w:autoSpaceDN/>
      <w:adjustRightInd/>
      <w:spacing w:before="60" w:after="60"/>
      <w:ind w:left="1872" w:right="1872"/>
    </w:pPr>
    <w:rPr>
      <w:sz w:val="20"/>
      <w:szCs w:val="20"/>
    </w:rPr>
  </w:style>
  <w:style w:type="character" w:customStyle="1" w:styleId="Citationfor111Char">
    <w:name w:val="Citation for 1.1.1 Char"/>
    <w:link w:val="Citationfor111"/>
    <w:rsid w:val="00FD4139"/>
  </w:style>
  <w:style w:type="paragraph" w:styleId="Revision">
    <w:name w:val="Revision"/>
    <w:hidden/>
    <w:uiPriority w:val="99"/>
    <w:semiHidden/>
    <w:rsid w:val="004556A0"/>
    <w:rPr>
      <w:sz w:val="24"/>
      <w:szCs w:val="24"/>
    </w:rPr>
  </w:style>
  <w:style w:type="paragraph" w:customStyle="1" w:styleId="TableParagraph">
    <w:name w:val="Table Paragraph"/>
    <w:basedOn w:val="Normal"/>
    <w:uiPriority w:val="1"/>
    <w:qFormat/>
    <w:rsid w:val="004556A0"/>
    <w:pPr>
      <w:widowControl/>
      <w:ind w:firstLine="360"/>
    </w:pPr>
    <w:rPr>
      <w:rFonts w:eastAsia="Calibri"/>
    </w:rPr>
  </w:style>
  <w:style w:type="table" w:customStyle="1" w:styleId="TableGrid1">
    <w:name w:val="Table Grid1"/>
    <w:basedOn w:val="TableNormal"/>
    <w:next w:val="TableGrid"/>
    <w:rsid w:val="004556A0"/>
    <w:pPr>
      <w:spacing w:after="24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IMONY0">
    <w:name w:val="TESTIMONY"/>
    <w:basedOn w:val="Normal"/>
    <w:rsid w:val="004556A0"/>
    <w:pPr>
      <w:autoSpaceDE/>
      <w:autoSpaceDN/>
      <w:adjustRightInd/>
      <w:spacing w:line="480" w:lineRule="auto"/>
      <w:ind w:left="720" w:hanging="720"/>
    </w:pPr>
    <w:rPr>
      <w:szCs w:val="20"/>
    </w:rPr>
  </w:style>
  <w:style w:type="paragraph" w:customStyle="1" w:styleId="testimony1">
    <w:name w:val="testimony"/>
    <w:basedOn w:val="Normal"/>
    <w:rsid w:val="004556A0"/>
    <w:pPr>
      <w:widowControl/>
      <w:autoSpaceDE/>
      <w:autoSpaceDN/>
      <w:adjustRightInd/>
      <w:spacing w:line="480" w:lineRule="auto"/>
      <w:ind w:left="720" w:hanging="720"/>
    </w:pPr>
    <w:rPr>
      <w:rFonts w:ascii="Courier New" w:hAnsi="Courier New"/>
      <w:szCs w:val="20"/>
    </w:rPr>
  </w:style>
  <w:style w:type="paragraph" w:customStyle="1" w:styleId="CTWOutline1">
    <w:name w:val="CTW Outline1"/>
    <w:rsid w:val="004556A0"/>
    <w:pPr>
      <w:tabs>
        <w:tab w:val="num" w:pos="720"/>
      </w:tabs>
      <w:spacing w:after="240"/>
      <w:ind w:left="720" w:hanging="720"/>
      <w:jc w:val="both"/>
      <w:outlineLvl w:val="0"/>
    </w:pPr>
    <w:rPr>
      <w:sz w:val="24"/>
      <w:szCs w:val="24"/>
    </w:rPr>
  </w:style>
  <w:style w:type="paragraph" w:customStyle="1" w:styleId="CTWOutline2">
    <w:name w:val="CTW Outline2"/>
    <w:rsid w:val="004556A0"/>
    <w:pPr>
      <w:tabs>
        <w:tab w:val="num" w:pos="720"/>
      </w:tabs>
      <w:spacing w:after="240"/>
      <w:ind w:left="1440" w:hanging="720"/>
      <w:jc w:val="both"/>
      <w:outlineLvl w:val="1"/>
    </w:pPr>
    <w:rPr>
      <w:sz w:val="24"/>
      <w:szCs w:val="24"/>
    </w:rPr>
  </w:style>
  <w:style w:type="paragraph" w:customStyle="1" w:styleId="CTWOutline3">
    <w:name w:val="CTW Outline3"/>
    <w:rsid w:val="004556A0"/>
    <w:pPr>
      <w:tabs>
        <w:tab w:val="num" w:pos="720"/>
      </w:tabs>
      <w:spacing w:after="240"/>
      <w:ind w:left="2160" w:hanging="720"/>
      <w:jc w:val="both"/>
      <w:outlineLvl w:val="2"/>
    </w:pPr>
    <w:rPr>
      <w:sz w:val="24"/>
      <w:szCs w:val="24"/>
    </w:rPr>
  </w:style>
  <w:style w:type="paragraph" w:customStyle="1" w:styleId="CTWOutline4">
    <w:name w:val="CTW Outline4"/>
    <w:rsid w:val="004556A0"/>
    <w:pPr>
      <w:tabs>
        <w:tab w:val="num" w:pos="720"/>
      </w:tabs>
      <w:spacing w:after="240"/>
      <w:ind w:left="2880" w:hanging="720"/>
      <w:jc w:val="both"/>
      <w:outlineLvl w:val="3"/>
    </w:pPr>
    <w:rPr>
      <w:sz w:val="24"/>
      <w:szCs w:val="24"/>
    </w:rPr>
  </w:style>
  <w:style w:type="paragraph" w:customStyle="1" w:styleId="CTWOutline5">
    <w:name w:val="CTW Outline5"/>
    <w:rsid w:val="004556A0"/>
    <w:pPr>
      <w:tabs>
        <w:tab w:val="num" w:pos="720"/>
      </w:tabs>
      <w:spacing w:after="240"/>
      <w:ind w:left="3600" w:hanging="720"/>
      <w:jc w:val="both"/>
      <w:outlineLvl w:val="4"/>
    </w:pPr>
    <w:rPr>
      <w:sz w:val="24"/>
      <w:szCs w:val="24"/>
    </w:rPr>
  </w:style>
  <w:style w:type="paragraph" w:customStyle="1" w:styleId="CTWOutline6">
    <w:name w:val="CTW Outline6"/>
    <w:rsid w:val="004556A0"/>
    <w:pPr>
      <w:tabs>
        <w:tab w:val="num" w:pos="720"/>
      </w:tabs>
      <w:spacing w:after="240"/>
      <w:ind w:left="4320" w:hanging="720"/>
      <w:jc w:val="both"/>
      <w:outlineLvl w:val="5"/>
    </w:pPr>
    <w:rPr>
      <w:sz w:val="24"/>
      <w:szCs w:val="24"/>
    </w:rPr>
  </w:style>
  <w:style w:type="paragraph" w:customStyle="1" w:styleId="CTWOutline7">
    <w:name w:val="CTW Outline7"/>
    <w:rsid w:val="004556A0"/>
    <w:pPr>
      <w:tabs>
        <w:tab w:val="num" w:pos="720"/>
      </w:tabs>
      <w:spacing w:after="240"/>
      <w:ind w:left="5040" w:hanging="720"/>
      <w:jc w:val="both"/>
      <w:outlineLvl w:val="6"/>
    </w:pPr>
    <w:rPr>
      <w:sz w:val="24"/>
      <w:szCs w:val="24"/>
    </w:rPr>
  </w:style>
  <w:style w:type="paragraph" w:customStyle="1" w:styleId="CTWOutline8">
    <w:name w:val="CTW Outline8"/>
    <w:rsid w:val="004556A0"/>
    <w:pPr>
      <w:tabs>
        <w:tab w:val="num" w:pos="720"/>
      </w:tabs>
      <w:spacing w:after="240"/>
      <w:ind w:left="5760" w:hanging="720"/>
      <w:jc w:val="both"/>
      <w:outlineLvl w:val="7"/>
    </w:pPr>
    <w:rPr>
      <w:sz w:val="24"/>
      <w:szCs w:val="24"/>
    </w:rPr>
  </w:style>
  <w:style w:type="paragraph" w:customStyle="1" w:styleId="CTWOutline9">
    <w:name w:val="CTW Outline9"/>
    <w:rsid w:val="004556A0"/>
    <w:pPr>
      <w:tabs>
        <w:tab w:val="num" w:pos="720"/>
      </w:tabs>
      <w:spacing w:after="240"/>
      <w:ind w:left="6480" w:hanging="720"/>
      <w:jc w:val="both"/>
      <w:outlineLvl w:val="8"/>
    </w:pPr>
    <w:rPr>
      <w:sz w:val="24"/>
      <w:szCs w:val="24"/>
    </w:rPr>
  </w:style>
  <w:style w:type="paragraph" w:customStyle="1" w:styleId="TestimonyAnswerAfterTable">
    <w:name w:val="Testimony Answer (After Table)"/>
    <w:basedOn w:val="Normal"/>
    <w:qFormat/>
    <w:rsid w:val="004E7890"/>
    <w:pPr>
      <w:widowControl/>
      <w:tabs>
        <w:tab w:val="left" w:pos="720"/>
        <w:tab w:val="right" w:leader="dot" w:pos="8640"/>
        <w:tab w:val="left" w:pos="9240"/>
      </w:tabs>
      <w:autoSpaceDE/>
      <w:autoSpaceDN/>
      <w:adjustRightInd/>
      <w:spacing w:before="200" w:after="240"/>
      <w:ind w:left="720" w:hanging="720"/>
    </w:pPr>
  </w:style>
  <w:style w:type="character" w:customStyle="1" w:styleId="Heading4Char">
    <w:name w:val="Heading 4 Char"/>
    <w:link w:val="Heading4"/>
    <w:uiPriority w:val="10"/>
    <w:rsid w:val="0064124D"/>
    <w:rPr>
      <w:b/>
      <w:bCs/>
      <w:sz w:val="24"/>
      <w:szCs w:val="28"/>
    </w:rPr>
  </w:style>
  <w:style w:type="character" w:customStyle="1" w:styleId="AnswerChar">
    <w:name w:val="Answer Char"/>
    <w:link w:val="Answer"/>
    <w:locked/>
    <w:rsid w:val="00A664BD"/>
    <w:rPr>
      <w:sz w:val="24"/>
    </w:rPr>
  </w:style>
  <w:style w:type="paragraph" w:customStyle="1" w:styleId="Answer">
    <w:name w:val="Answer"/>
    <w:basedOn w:val="Normal"/>
    <w:link w:val="AnswerChar"/>
    <w:qFormat/>
    <w:rsid w:val="00A664BD"/>
    <w:pPr>
      <w:widowControl/>
      <w:tabs>
        <w:tab w:val="left" w:pos="720"/>
      </w:tabs>
      <w:autoSpaceDE/>
      <w:autoSpaceDN/>
      <w:adjustRightInd/>
      <w:spacing w:line="480" w:lineRule="auto"/>
      <w:ind w:left="720" w:hanging="720"/>
    </w:pPr>
    <w:rPr>
      <w:szCs w:val="20"/>
    </w:rPr>
  </w:style>
  <w:style w:type="character" w:styleId="LineNumber">
    <w:name w:val="line number"/>
    <w:rsid w:val="00A664BD"/>
  </w:style>
  <w:style w:type="character" w:customStyle="1" w:styleId="AnswerBodyChar1">
    <w:name w:val="Answer Body Char1"/>
    <w:link w:val="AnswerBody"/>
    <w:locked/>
    <w:rsid w:val="00AE1968"/>
    <w:rPr>
      <w:rFonts w:ascii="Arial" w:hAnsi="Arial" w:cs="Arial"/>
      <w:sz w:val="24"/>
      <w:szCs w:val="24"/>
    </w:rPr>
  </w:style>
  <w:style w:type="paragraph" w:customStyle="1" w:styleId="AnswerBody">
    <w:name w:val="Answer Body"/>
    <w:basedOn w:val="Normal"/>
    <w:link w:val="AnswerBodyChar1"/>
    <w:rsid w:val="00AE1968"/>
    <w:pPr>
      <w:widowControl/>
      <w:tabs>
        <w:tab w:val="left" w:pos="720"/>
      </w:tabs>
      <w:autoSpaceDE/>
      <w:autoSpaceDN/>
      <w:adjustRightInd/>
      <w:spacing w:line="480" w:lineRule="auto"/>
      <w:ind w:left="720"/>
    </w:pPr>
    <w:rPr>
      <w:rFonts w:ascii="Arial" w:hAnsi="Arial" w:cs="Arial"/>
    </w:rPr>
  </w:style>
  <w:style w:type="character" w:customStyle="1" w:styleId="BalloonTextChar">
    <w:name w:val="Balloon Text Char"/>
    <w:link w:val="BalloonText"/>
    <w:uiPriority w:val="99"/>
    <w:semiHidden/>
    <w:rsid w:val="00D800A0"/>
    <w:rPr>
      <w:rFonts w:ascii="Tahoma" w:hAnsi="Tahoma" w:cs="Tahoma"/>
      <w:sz w:val="16"/>
      <w:szCs w:val="16"/>
    </w:rPr>
  </w:style>
  <w:style w:type="paragraph" w:customStyle="1" w:styleId="Default">
    <w:name w:val="Default"/>
    <w:rsid w:val="001F3E43"/>
    <w:pPr>
      <w:autoSpaceDE w:val="0"/>
      <w:autoSpaceDN w:val="0"/>
      <w:adjustRightInd w:val="0"/>
    </w:pPr>
    <w:rPr>
      <w:rFonts w:ascii="Arial" w:hAnsi="Arial" w:cs="Arial"/>
      <w:color w:val="000000"/>
      <w:sz w:val="24"/>
      <w:szCs w:val="24"/>
    </w:rPr>
  </w:style>
  <w:style w:type="character" w:customStyle="1" w:styleId="Heading6Char">
    <w:name w:val="Heading 6 Char"/>
    <w:link w:val="Heading6"/>
    <w:uiPriority w:val="10"/>
    <w:rsid w:val="000F1EAC"/>
    <w:rPr>
      <w:sz w:val="24"/>
      <w:szCs w:val="24"/>
    </w:rPr>
  </w:style>
  <w:style w:type="character" w:customStyle="1" w:styleId="Heading7Char">
    <w:name w:val="Heading 7 Char"/>
    <w:link w:val="Heading7"/>
    <w:uiPriority w:val="10"/>
    <w:rsid w:val="000F1EAC"/>
    <w:rPr>
      <w:sz w:val="24"/>
      <w:szCs w:val="24"/>
    </w:rPr>
  </w:style>
  <w:style w:type="character" w:customStyle="1" w:styleId="Heading9Char">
    <w:name w:val="Heading 9 Char"/>
    <w:link w:val="Heading9"/>
    <w:uiPriority w:val="10"/>
    <w:rsid w:val="000F1EAC"/>
    <w:rPr>
      <w:sz w:val="24"/>
      <w:szCs w:val="24"/>
    </w:rPr>
  </w:style>
  <w:style w:type="character" w:customStyle="1" w:styleId="Heading3Char">
    <w:name w:val="Heading 3 Char"/>
    <w:link w:val="Heading3"/>
    <w:uiPriority w:val="9"/>
    <w:rsid w:val="000F5BDC"/>
    <w:rPr>
      <w:rFonts w:cs="Arial"/>
      <w:b/>
      <w:bCs/>
      <w:sz w:val="24"/>
      <w:szCs w:val="26"/>
    </w:rPr>
  </w:style>
  <w:style w:type="character" w:customStyle="1" w:styleId="Heading5Char">
    <w:name w:val="Heading 5 Char"/>
    <w:link w:val="Heading5"/>
    <w:uiPriority w:val="10"/>
    <w:rsid w:val="000F1EAC"/>
    <w:rPr>
      <w:b/>
      <w:bCs/>
      <w:iCs/>
      <w:sz w:val="24"/>
      <w:szCs w:val="26"/>
    </w:rPr>
  </w:style>
  <w:style w:type="character" w:customStyle="1" w:styleId="Heading2Char">
    <w:name w:val="Heading 2 Char"/>
    <w:link w:val="Heading2"/>
    <w:uiPriority w:val="9"/>
    <w:rsid w:val="00690297"/>
    <w:rPr>
      <w:rFonts w:cs="Arial"/>
      <w:b/>
      <w:bCs/>
      <w:iCs/>
      <w:sz w:val="24"/>
      <w:szCs w:val="28"/>
    </w:rPr>
  </w:style>
  <w:style w:type="paragraph" w:customStyle="1" w:styleId="Table">
    <w:name w:val="Table"/>
    <w:basedOn w:val="Normal"/>
    <w:qFormat/>
    <w:rsid w:val="000F1EAC"/>
    <w:pPr>
      <w:widowControl/>
      <w:autoSpaceDE/>
      <w:autoSpaceDN/>
      <w:adjustRightInd/>
      <w:spacing w:line="276" w:lineRule="auto"/>
      <w:jc w:val="center"/>
      <w:outlineLvl w:val="1"/>
    </w:pPr>
    <w:rPr>
      <w:rFonts w:cs="Arial"/>
      <w:bCs/>
      <w:iCs/>
      <w:szCs w:val="20"/>
    </w:rPr>
  </w:style>
  <w:style w:type="paragraph" w:customStyle="1" w:styleId="BodyText1SS">
    <w:name w:val="Body Text 1&quot; SS"/>
    <w:aliases w:val="BT 1 SS"/>
    <w:basedOn w:val="Normal"/>
    <w:autoRedefine/>
    <w:uiPriority w:val="6"/>
    <w:qFormat/>
    <w:rsid w:val="000005CA"/>
    <w:pPr>
      <w:widowControl/>
      <w:autoSpaceDE/>
      <w:autoSpaceDN/>
      <w:adjustRightInd/>
      <w:spacing w:after="240"/>
      <w:ind w:left="2160" w:right="720" w:hanging="720"/>
    </w:pPr>
  </w:style>
  <w:style w:type="paragraph" w:styleId="BodyTextIndent2">
    <w:name w:val="Body Text Indent 2"/>
    <w:basedOn w:val="Normal"/>
    <w:link w:val="BodyTextIndent2Char"/>
    <w:rsid w:val="0028264F"/>
    <w:pPr>
      <w:spacing w:after="120" w:line="480" w:lineRule="auto"/>
      <w:ind w:left="360"/>
    </w:pPr>
  </w:style>
  <w:style w:type="character" w:customStyle="1" w:styleId="BodyTextIndent2Char">
    <w:name w:val="Body Text Indent 2 Char"/>
    <w:link w:val="BodyTextIndent2"/>
    <w:rsid w:val="0028264F"/>
    <w:rPr>
      <w:sz w:val="24"/>
      <w:szCs w:val="24"/>
    </w:rPr>
  </w:style>
  <w:style w:type="paragraph" w:customStyle="1" w:styleId="TestimonyAnswer">
    <w:name w:val="Testimony Answer"/>
    <w:basedOn w:val="Normal"/>
    <w:qFormat/>
    <w:rsid w:val="00AB6EF0"/>
    <w:pPr>
      <w:widowControl/>
      <w:tabs>
        <w:tab w:val="left" w:pos="720"/>
        <w:tab w:val="right" w:leader="dot" w:pos="8640"/>
        <w:tab w:val="left" w:pos="9240"/>
      </w:tabs>
      <w:autoSpaceDE/>
      <w:autoSpaceDN/>
      <w:adjustRightInd/>
      <w:spacing w:after="240"/>
      <w:ind w:left="720" w:hanging="720"/>
    </w:pPr>
  </w:style>
  <w:style w:type="paragraph" w:customStyle="1" w:styleId="Quote5">
    <w:name w:val="Quote .5&quot;"/>
    <w:basedOn w:val="Normal"/>
    <w:rsid w:val="00902A91"/>
    <w:pPr>
      <w:widowControl/>
      <w:autoSpaceDE/>
      <w:autoSpaceDN/>
      <w:adjustRightInd/>
      <w:spacing w:after="240"/>
      <w:ind w:left="720" w:right="720"/>
    </w:pPr>
  </w:style>
  <w:style w:type="numbering" w:styleId="111111">
    <w:name w:val="Outline List 2"/>
    <w:basedOn w:val="NoList"/>
    <w:uiPriority w:val="99"/>
    <w:unhideWhenUsed/>
    <w:rsid w:val="004A2732"/>
    <w:pPr>
      <w:numPr>
        <w:numId w:val="24"/>
      </w:numPr>
    </w:pPr>
  </w:style>
  <w:style w:type="paragraph" w:customStyle="1" w:styleId="StyleListParagraphJustifiedAfter6ptLinespacing15">
    <w:name w:val="Style List Paragraph + Justified After:  6 pt Line spacing:  1.5 ..."/>
    <w:basedOn w:val="ListParagraph"/>
    <w:rsid w:val="004A2732"/>
    <w:pPr>
      <w:spacing w:after="120"/>
      <w:contextualSpacing/>
    </w:pPr>
    <w:rPr>
      <w:szCs w:val="20"/>
    </w:rPr>
  </w:style>
  <w:style w:type="paragraph" w:customStyle="1" w:styleId="blockquotefn">
    <w:name w:val="blockquote.fn"/>
    <w:basedOn w:val="Normal"/>
    <w:link w:val="blockquotefnChar"/>
    <w:qFormat/>
    <w:rsid w:val="00294833"/>
    <w:pPr>
      <w:widowControl/>
      <w:autoSpaceDE/>
      <w:autoSpaceDN/>
      <w:adjustRightInd/>
      <w:spacing w:after="360"/>
      <w:ind w:left="720" w:right="720"/>
    </w:pPr>
    <w:rPr>
      <w:szCs w:val="20"/>
    </w:rPr>
  </w:style>
  <w:style w:type="character" w:customStyle="1" w:styleId="blockquotefnChar">
    <w:name w:val="blockquote.fn Char"/>
    <w:link w:val="blockquotefn"/>
    <w:rsid w:val="00294833"/>
    <w:rPr>
      <w:sz w:val="24"/>
    </w:rPr>
  </w:style>
  <w:style w:type="paragraph" w:styleId="NoSpacing">
    <w:name w:val="No Spacing"/>
    <w:uiPriority w:val="1"/>
    <w:qFormat/>
    <w:rsid w:val="006E1661"/>
    <w:rPr>
      <w:rFonts w:ascii="Calibri" w:eastAsia="Calibri" w:hAnsi="Calibri"/>
      <w:sz w:val="22"/>
      <w:szCs w:val="22"/>
    </w:rPr>
  </w:style>
  <w:style w:type="paragraph" w:customStyle="1" w:styleId="FOFNumbered">
    <w:name w:val="FOF Numbered"/>
    <w:basedOn w:val="Normal"/>
    <w:link w:val="FOFNumberedChar"/>
    <w:rsid w:val="00BF4262"/>
    <w:pPr>
      <w:widowControl/>
      <w:numPr>
        <w:numId w:val="26"/>
      </w:numPr>
      <w:tabs>
        <w:tab w:val="clear" w:pos="1080"/>
        <w:tab w:val="num" w:pos="720"/>
      </w:tabs>
      <w:autoSpaceDE/>
      <w:autoSpaceDN/>
      <w:adjustRightInd/>
      <w:spacing w:before="120"/>
      <w:ind w:left="720"/>
    </w:pPr>
    <w:rPr>
      <w:snapToGrid w:val="0"/>
      <w:szCs w:val="20"/>
    </w:rPr>
  </w:style>
  <w:style w:type="character" w:customStyle="1" w:styleId="FOFNumberedChar">
    <w:name w:val="FOF Numbered Char"/>
    <w:link w:val="FOFNumbered"/>
    <w:rsid w:val="00BF4262"/>
    <w:rPr>
      <w:snapToGrid w:val="0"/>
      <w:sz w:val="24"/>
    </w:rPr>
  </w:style>
  <w:style w:type="paragraph" w:customStyle="1" w:styleId="Style12ptJustifiedLeft0Hanging05LinespacingD">
    <w:name w:val="Style 12 pt Justified Left:  0&quot; Hanging:  0.5&quot; Line spacing:  D..."/>
    <w:basedOn w:val="Normal"/>
    <w:rsid w:val="00294833"/>
    <w:pPr>
      <w:widowControl/>
      <w:overflowPunct w:val="0"/>
      <w:spacing w:line="480" w:lineRule="auto"/>
      <w:ind w:left="720" w:hanging="720"/>
      <w:textAlignment w:val="baseline"/>
    </w:pPr>
    <w:rPr>
      <w:szCs w:val="20"/>
    </w:rPr>
  </w:style>
  <w:style w:type="character" w:styleId="Emphasis">
    <w:name w:val="Emphasis"/>
    <w:uiPriority w:val="2"/>
    <w:qFormat/>
    <w:rsid w:val="00493962"/>
    <w:rPr>
      <w:rFonts w:ascii="Times New Roman" w:eastAsia="Times New Roman" w:hAnsi="Times New Roman" w:cs="Times New Roman"/>
      <w:i/>
    </w:rPr>
  </w:style>
  <w:style w:type="paragraph" w:customStyle="1" w:styleId="Blockquote">
    <w:name w:val="Blockquote"/>
    <w:basedOn w:val="Normal"/>
    <w:link w:val="BlockquoteChar"/>
    <w:autoRedefine/>
    <w:qFormat/>
    <w:rsid w:val="009D1469"/>
    <w:pPr>
      <w:widowControl/>
      <w:autoSpaceDE/>
      <w:autoSpaceDN/>
      <w:adjustRightInd/>
      <w:spacing w:before="240"/>
      <w:ind w:left="720" w:right="720"/>
    </w:pPr>
    <w:rPr>
      <w:szCs w:val="20"/>
    </w:rPr>
  </w:style>
  <w:style w:type="character" w:customStyle="1" w:styleId="BlockquoteChar">
    <w:name w:val="Blockquote Char"/>
    <w:link w:val="Blockquote"/>
    <w:rsid w:val="009D1469"/>
    <w:rPr>
      <w:sz w:val="24"/>
    </w:rPr>
  </w:style>
  <w:style w:type="character" w:customStyle="1" w:styleId="ListParagraphChar">
    <w:name w:val="List Paragraph Char"/>
    <w:link w:val="ListParagraph"/>
    <w:uiPriority w:val="34"/>
    <w:rsid w:val="00441675"/>
    <w:rPr>
      <w:sz w:val="24"/>
      <w:szCs w:val="24"/>
    </w:rPr>
  </w:style>
  <w:style w:type="character" w:customStyle="1" w:styleId="FootnoteChar">
    <w:name w:val="Footnote Char"/>
    <w:link w:val="Footnote"/>
    <w:uiPriority w:val="99"/>
    <w:locked/>
    <w:rsid w:val="00000440"/>
  </w:style>
  <w:style w:type="paragraph" w:styleId="BodyTextIndent">
    <w:name w:val="Body Text Indent"/>
    <w:basedOn w:val="Normal"/>
    <w:link w:val="BodyTextIndentChar"/>
    <w:rsid w:val="005B5BA9"/>
    <w:pPr>
      <w:spacing w:after="120"/>
      <w:ind w:left="360"/>
    </w:pPr>
  </w:style>
  <w:style w:type="character" w:customStyle="1" w:styleId="BodyTextIndentChar">
    <w:name w:val="Body Text Indent Char"/>
    <w:link w:val="BodyTextIndent"/>
    <w:rsid w:val="005B5BA9"/>
    <w:rPr>
      <w:sz w:val="24"/>
      <w:szCs w:val="24"/>
    </w:rPr>
  </w:style>
  <w:style w:type="paragraph" w:customStyle="1" w:styleId="PL">
    <w:name w:val="PL"/>
    <w:aliases w:val="BR,MT"/>
    <w:rsid w:val="0017694A"/>
    <w:pPr>
      <w:spacing w:line="480" w:lineRule="exact"/>
      <w:ind w:firstLine="720"/>
      <w:jc w:val="both"/>
    </w:pPr>
    <w:rPr>
      <w:sz w:val="24"/>
    </w:rPr>
  </w:style>
  <w:style w:type="paragraph" w:styleId="Bibliography">
    <w:name w:val="Bibliography"/>
    <w:basedOn w:val="Normal"/>
    <w:next w:val="Normal"/>
    <w:uiPriority w:val="37"/>
    <w:unhideWhenUsed/>
    <w:rsid w:val="009841E2"/>
  </w:style>
  <w:style w:type="character" w:customStyle="1" w:styleId="apple-converted-space">
    <w:name w:val="apple-converted-space"/>
    <w:basedOn w:val="DefaultParagraphFont"/>
    <w:rsid w:val="003D2F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10" w:unhideWhenUsed="0" w:qFormat="1"/>
    <w:lsdException w:name="heading 5" w:semiHidden="0" w:uiPriority="10" w:unhideWhenUsed="0" w:qFormat="1"/>
    <w:lsdException w:name="heading 6" w:uiPriority="10" w:qFormat="1"/>
    <w:lsdException w:name="heading 7" w:uiPriority="10" w:qFormat="1"/>
    <w:lsdException w:name="heading 8" w:uiPriority="10" w:qFormat="1"/>
    <w:lsdException w:name="heading 9" w:uiPriority="1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caption" w:uiPriority="35"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lock Text" w:qFormat="1"/>
    <w:lsdException w:name="Hyperlink" w:uiPriority="99"/>
    <w:lsdException w:name="Strong" w:semiHidden="0" w:unhideWhenUsed="0" w:qFormat="1"/>
    <w:lsdException w:name="Emphasis" w:semiHidden="0" w:uiPriority="2" w:unhideWhenUsed="0" w:qFormat="1"/>
    <w:lsdException w:name="Normal (Web)" w:uiPriority="99"/>
    <w:lsdException w:name="annotation subject" w:uiPriority="99"/>
    <w:lsdException w:name="No List"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570"/>
    <w:pPr>
      <w:widowControl w:val="0"/>
      <w:autoSpaceDE w:val="0"/>
      <w:autoSpaceDN w:val="0"/>
      <w:adjustRightInd w:val="0"/>
      <w:spacing w:line="360" w:lineRule="auto"/>
      <w:ind w:firstLine="720"/>
      <w:jc w:val="both"/>
    </w:pPr>
    <w:rPr>
      <w:sz w:val="24"/>
      <w:szCs w:val="24"/>
    </w:rPr>
  </w:style>
  <w:style w:type="paragraph" w:styleId="Heading1">
    <w:name w:val="heading 1"/>
    <w:basedOn w:val="Normal"/>
    <w:next w:val="Normal"/>
    <w:qFormat/>
    <w:rsid w:val="00DD267C"/>
    <w:pPr>
      <w:keepNext/>
      <w:widowControl/>
      <w:numPr>
        <w:numId w:val="4"/>
      </w:numPr>
      <w:spacing w:after="120"/>
      <w:jc w:val="center"/>
      <w:outlineLvl w:val="0"/>
    </w:pPr>
    <w:rPr>
      <w:rFonts w:cs="Arial"/>
      <w:b/>
      <w:bCs/>
      <w:kern w:val="32"/>
      <w:szCs w:val="32"/>
    </w:rPr>
  </w:style>
  <w:style w:type="paragraph" w:styleId="Heading2">
    <w:name w:val="heading 2"/>
    <w:basedOn w:val="Normal"/>
    <w:next w:val="Normal"/>
    <w:link w:val="Heading2Char"/>
    <w:uiPriority w:val="9"/>
    <w:qFormat/>
    <w:rsid w:val="00690297"/>
    <w:pPr>
      <w:keepNext/>
      <w:widowControl/>
      <w:numPr>
        <w:numId w:val="5"/>
      </w:numPr>
      <w:spacing w:after="240" w:line="240" w:lineRule="auto"/>
      <w:outlineLvl w:val="1"/>
    </w:pPr>
    <w:rPr>
      <w:rFonts w:cs="Arial"/>
      <w:b/>
      <w:bCs/>
      <w:iCs/>
      <w:szCs w:val="28"/>
    </w:rPr>
  </w:style>
  <w:style w:type="paragraph" w:styleId="Heading3">
    <w:name w:val="heading 3"/>
    <w:basedOn w:val="Normal"/>
    <w:next w:val="Normal"/>
    <w:link w:val="Heading3Char"/>
    <w:uiPriority w:val="9"/>
    <w:qFormat/>
    <w:rsid w:val="000F5BDC"/>
    <w:pPr>
      <w:keepNext/>
      <w:widowControl/>
      <w:numPr>
        <w:numId w:val="23"/>
      </w:numPr>
      <w:spacing w:after="240" w:line="240" w:lineRule="auto"/>
      <w:outlineLvl w:val="2"/>
    </w:pPr>
    <w:rPr>
      <w:rFonts w:cs="Arial"/>
      <w:b/>
      <w:bCs/>
      <w:szCs w:val="26"/>
    </w:rPr>
  </w:style>
  <w:style w:type="paragraph" w:styleId="Heading4">
    <w:name w:val="heading 4"/>
    <w:basedOn w:val="Normal"/>
    <w:next w:val="Normal"/>
    <w:link w:val="Heading4Char"/>
    <w:uiPriority w:val="10"/>
    <w:qFormat/>
    <w:rsid w:val="0064124D"/>
    <w:pPr>
      <w:keepNext/>
      <w:widowControl/>
      <w:numPr>
        <w:numId w:val="40"/>
      </w:numPr>
      <w:spacing w:after="240" w:line="240" w:lineRule="auto"/>
      <w:outlineLvl w:val="3"/>
    </w:pPr>
    <w:rPr>
      <w:b/>
      <w:bCs/>
      <w:szCs w:val="28"/>
    </w:rPr>
  </w:style>
  <w:style w:type="paragraph" w:styleId="Heading5">
    <w:name w:val="heading 5"/>
    <w:basedOn w:val="Normal"/>
    <w:next w:val="Normal"/>
    <w:link w:val="Heading5Char"/>
    <w:uiPriority w:val="10"/>
    <w:qFormat/>
    <w:rsid w:val="00B03342"/>
    <w:pPr>
      <w:keepNext/>
      <w:numPr>
        <w:numId w:val="10"/>
      </w:numPr>
      <w:spacing w:after="360"/>
      <w:outlineLvl w:val="4"/>
    </w:pPr>
    <w:rPr>
      <w:b/>
      <w:bCs/>
      <w:iCs/>
      <w:szCs w:val="26"/>
    </w:rPr>
  </w:style>
  <w:style w:type="paragraph" w:styleId="Heading6">
    <w:name w:val="heading 6"/>
    <w:basedOn w:val="Normal"/>
    <w:next w:val="BodyTextFirstIndent"/>
    <w:link w:val="Heading6Char"/>
    <w:autoRedefine/>
    <w:uiPriority w:val="10"/>
    <w:qFormat/>
    <w:rsid w:val="000F1EAC"/>
    <w:pPr>
      <w:widowControl/>
      <w:tabs>
        <w:tab w:val="num" w:pos="3600"/>
      </w:tabs>
      <w:autoSpaceDE/>
      <w:autoSpaceDN/>
      <w:adjustRightInd/>
      <w:spacing w:after="240"/>
      <w:ind w:left="3600" w:hanging="720"/>
      <w:outlineLvl w:val="5"/>
    </w:pPr>
  </w:style>
  <w:style w:type="paragraph" w:styleId="Heading7">
    <w:name w:val="heading 7"/>
    <w:basedOn w:val="Normal"/>
    <w:link w:val="Heading7Char"/>
    <w:uiPriority w:val="10"/>
    <w:rsid w:val="000F1EAC"/>
    <w:pPr>
      <w:widowControl/>
      <w:tabs>
        <w:tab w:val="num" w:pos="720"/>
      </w:tabs>
      <w:autoSpaceDE/>
      <w:autoSpaceDN/>
      <w:adjustRightInd/>
      <w:spacing w:after="240"/>
      <w:outlineLvl w:val="6"/>
    </w:pPr>
  </w:style>
  <w:style w:type="paragraph" w:styleId="Heading8">
    <w:name w:val="heading 8"/>
    <w:basedOn w:val="Normal"/>
    <w:next w:val="Normal"/>
    <w:link w:val="Heading8Char"/>
    <w:uiPriority w:val="10"/>
    <w:qFormat/>
    <w:rsid w:val="00B64798"/>
    <w:pPr>
      <w:spacing w:before="240" w:after="60"/>
      <w:outlineLvl w:val="7"/>
    </w:pPr>
    <w:rPr>
      <w:i/>
      <w:iCs/>
    </w:rPr>
  </w:style>
  <w:style w:type="paragraph" w:styleId="Heading9">
    <w:name w:val="heading 9"/>
    <w:basedOn w:val="Normal"/>
    <w:link w:val="Heading9Char"/>
    <w:uiPriority w:val="10"/>
    <w:rsid w:val="000F1EAC"/>
    <w:pPr>
      <w:widowControl/>
      <w:tabs>
        <w:tab w:val="num" w:pos="720"/>
      </w:tabs>
      <w:autoSpaceDE/>
      <w:autoSpaceDN/>
      <w:adjustRightInd/>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10"/>
    <w:locked/>
    <w:rsid w:val="00B64798"/>
    <w:rPr>
      <w:i/>
      <w:iCs/>
      <w:sz w:val="24"/>
      <w:szCs w:val="24"/>
      <w:lang w:val="en-US" w:eastAsia="en-US" w:bidi="ar-SA"/>
    </w:rPr>
  </w:style>
  <w:style w:type="character" w:styleId="FootnoteReference">
    <w:name w:val="footnote reference"/>
    <w:aliases w:val="o,fr,Style 3,Style 21,Style 12,Style 11,Style 28,Style 8,Style 4,Style 17,o1,fr1,o2,fr2,o3,fr3,Style 18,(NECG) Footnote Reference,Style 20,Style 7,Style 19,Style 24,Style 5,Style 15,Footnote Reference (EIS),Styl,Style 16,Style 29,FR"/>
    <w:uiPriority w:val="99"/>
    <w:qFormat/>
    <w:rsid w:val="00D047F9"/>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f"/>
    <w:basedOn w:val="Normal"/>
    <w:link w:val="FootnoteTextChar1"/>
    <w:uiPriority w:val="99"/>
    <w:qFormat/>
    <w:rsid w:val="00DB1985"/>
    <w:pPr>
      <w:widowControl/>
      <w:spacing w:after="120" w:line="240" w:lineRule="auto"/>
      <w:ind w:left="720" w:hanging="360"/>
    </w:pPr>
    <w:rPr>
      <w:sz w:val="20"/>
      <w:szCs w:val="20"/>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ink w:val="FootnoteText"/>
    <w:uiPriority w:val="99"/>
    <w:locked/>
    <w:rsid w:val="00DB1985"/>
  </w:style>
  <w:style w:type="paragraph" w:styleId="Header">
    <w:name w:val="header"/>
    <w:basedOn w:val="Normal"/>
    <w:rsid w:val="009653A0"/>
    <w:pPr>
      <w:tabs>
        <w:tab w:val="center" w:pos="4320"/>
        <w:tab w:val="right" w:pos="8640"/>
      </w:tabs>
    </w:pPr>
  </w:style>
  <w:style w:type="paragraph" w:styleId="Footer">
    <w:name w:val="footer"/>
    <w:basedOn w:val="Normal"/>
    <w:rsid w:val="009653A0"/>
    <w:pPr>
      <w:tabs>
        <w:tab w:val="center" w:pos="4320"/>
        <w:tab w:val="right" w:pos="8640"/>
      </w:tabs>
    </w:pPr>
  </w:style>
  <w:style w:type="paragraph" w:styleId="BlockText">
    <w:name w:val="Block Text"/>
    <w:aliases w:val="Bullet Text"/>
    <w:basedOn w:val="Normal"/>
    <w:qFormat/>
    <w:rsid w:val="00726F65"/>
    <w:pPr>
      <w:widowControl/>
      <w:autoSpaceDE/>
      <w:autoSpaceDN/>
      <w:adjustRightInd/>
      <w:spacing w:after="360"/>
      <w:ind w:left="720" w:right="720"/>
    </w:pPr>
    <w:rPr>
      <w:szCs w:val="20"/>
    </w:rPr>
  </w:style>
  <w:style w:type="paragraph" w:styleId="BalloonText">
    <w:name w:val="Balloon Text"/>
    <w:basedOn w:val="Normal"/>
    <w:link w:val="BalloonTextChar"/>
    <w:uiPriority w:val="99"/>
    <w:semiHidden/>
    <w:rsid w:val="006D65DB"/>
    <w:rPr>
      <w:rFonts w:ascii="Tahoma" w:hAnsi="Tahoma" w:cs="Tahoma"/>
      <w:sz w:val="16"/>
      <w:szCs w:val="16"/>
    </w:rPr>
  </w:style>
  <w:style w:type="table" w:styleId="TableGrid">
    <w:name w:val="Table Grid"/>
    <w:basedOn w:val="TableNormal"/>
    <w:uiPriority w:val="59"/>
    <w:rsid w:val="00D02FE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493E"/>
    <w:pPr>
      <w:widowControl/>
      <w:spacing w:after="360"/>
    </w:pPr>
  </w:style>
  <w:style w:type="character" w:customStyle="1" w:styleId="BodyTextChar">
    <w:name w:val="Body Text Char"/>
    <w:link w:val="BodyText"/>
    <w:rsid w:val="00047D05"/>
    <w:rPr>
      <w:sz w:val="24"/>
      <w:szCs w:val="24"/>
      <w:lang w:val="en-US" w:eastAsia="en-US" w:bidi="ar-SA"/>
    </w:rPr>
  </w:style>
  <w:style w:type="paragraph" w:styleId="ListNumber">
    <w:name w:val="List Number"/>
    <w:basedOn w:val="Normal"/>
    <w:rsid w:val="00E31550"/>
    <w:pPr>
      <w:widowControl/>
      <w:numPr>
        <w:numId w:val="2"/>
      </w:numPr>
      <w:spacing w:after="360"/>
      <w:ind w:left="720" w:hanging="720"/>
    </w:pPr>
  </w:style>
  <w:style w:type="character" w:styleId="Hyperlink">
    <w:name w:val="Hyperlink"/>
    <w:uiPriority w:val="99"/>
    <w:rsid w:val="00406FA2"/>
    <w:rPr>
      <w:color w:val="0000FF"/>
      <w:u w:val="single"/>
    </w:rPr>
  </w:style>
  <w:style w:type="paragraph" w:styleId="ListBullet">
    <w:name w:val="List Bullet"/>
    <w:basedOn w:val="Normal"/>
    <w:rsid w:val="00672510"/>
    <w:pPr>
      <w:widowControl/>
      <w:numPr>
        <w:numId w:val="1"/>
      </w:numPr>
      <w:spacing w:after="360"/>
      <w:ind w:left="2160" w:hanging="720"/>
    </w:pPr>
  </w:style>
  <w:style w:type="paragraph" w:styleId="ListBullet2">
    <w:name w:val="List Bullet 2"/>
    <w:basedOn w:val="Normal"/>
    <w:rsid w:val="006F1069"/>
    <w:pPr>
      <w:spacing w:after="360"/>
    </w:pPr>
  </w:style>
  <w:style w:type="paragraph" w:styleId="ListNumber2">
    <w:name w:val="List Number 2"/>
    <w:basedOn w:val="Normal"/>
    <w:rsid w:val="00F24D18"/>
    <w:pPr>
      <w:numPr>
        <w:numId w:val="3"/>
      </w:numPr>
    </w:pPr>
  </w:style>
  <w:style w:type="paragraph" w:styleId="Title">
    <w:name w:val="Title"/>
    <w:basedOn w:val="Normal"/>
    <w:link w:val="TitleChar"/>
    <w:qFormat/>
    <w:rsid w:val="00F24D18"/>
    <w:pPr>
      <w:widowControl/>
      <w:autoSpaceDE/>
      <w:autoSpaceDN/>
      <w:adjustRightInd/>
      <w:spacing w:after="240"/>
      <w:jc w:val="center"/>
    </w:pPr>
    <w:rPr>
      <w:rFonts w:cs="Arial"/>
      <w:b/>
      <w:bCs/>
      <w:kern w:val="28"/>
    </w:rPr>
  </w:style>
  <w:style w:type="character" w:customStyle="1" w:styleId="TitleChar">
    <w:name w:val="Title Char"/>
    <w:link w:val="Title"/>
    <w:rsid w:val="00F24D18"/>
    <w:rPr>
      <w:rFonts w:cs="Arial"/>
      <w:b/>
      <w:bCs/>
      <w:kern w:val="28"/>
      <w:sz w:val="24"/>
      <w:szCs w:val="24"/>
      <w:lang w:val="en-US" w:eastAsia="en-US" w:bidi="ar-SA"/>
    </w:rPr>
  </w:style>
  <w:style w:type="paragraph" w:customStyle="1" w:styleId="StyleHeading3JustifiedLeft05Hanging025Before">
    <w:name w:val="Style Heading 3 + Justified Left:  0.5&quot; Hanging:  0.25&quot; Before: ..."/>
    <w:basedOn w:val="Heading3"/>
    <w:rsid w:val="00112932"/>
    <w:pPr>
      <w:numPr>
        <w:numId w:val="7"/>
      </w:numPr>
    </w:pPr>
    <w:rPr>
      <w:rFonts w:cs="Times New Roman"/>
      <w:szCs w:val="20"/>
    </w:rPr>
  </w:style>
  <w:style w:type="paragraph" w:customStyle="1" w:styleId="StyleHeading4JustifiedLeft075Hanging025Before">
    <w:name w:val="Style Heading 4 + Justified Left:  0.75&quot; Hanging:  0.25&quot; Before:..."/>
    <w:basedOn w:val="Heading4"/>
    <w:rsid w:val="008446BC"/>
    <w:pPr>
      <w:numPr>
        <w:numId w:val="8"/>
      </w:numPr>
      <w:ind w:left="2160" w:hanging="720"/>
    </w:pPr>
    <w:rPr>
      <w:szCs w:val="20"/>
    </w:rPr>
  </w:style>
  <w:style w:type="paragraph" w:customStyle="1" w:styleId="NormalFirstline05">
    <w:name w:val="Normal + First line:  0.5&quot;"/>
    <w:aliases w:val="Line spacing:  1.5 lines,Normal + First line:  0.51&quot;"/>
    <w:basedOn w:val="Heading1"/>
    <w:rsid w:val="00A0587F"/>
    <w:pPr>
      <w:numPr>
        <w:numId w:val="0"/>
      </w:numPr>
      <w:autoSpaceDE/>
      <w:autoSpaceDN/>
      <w:adjustRightInd/>
      <w:spacing w:after="240"/>
      <w:jc w:val="both"/>
    </w:pPr>
    <w:rPr>
      <w:rFonts w:cs="Times New Roman"/>
      <w:color w:val="000000"/>
      <w:kern w:val="0"/>
    </w:rPr>
  </w:style>
  <w:style w:type="paragraph" w:customStyle="1" w:styleId="ItemList">
    <w:name w:val="Item List"/>
    <w:basedOn w:val="Normal"/>
    <w:rsid w:val="005E709B"/>
    <w:pPr>
      <w:widowControl/>
      <w:autoSpaceDE/>
      <w:autoSpaceDN/>
      <w:adjustRightInd/>
      <w:spacing w:before="360"/>
      <w:ind w:left="720" w:hanging="720"/>
    </w:pPr>
    <w:rPr>
      <w:szCs w:val="20"/>
    </w:rPr>
  </w:style>
  <w:style w:type="character" w:styleId="PageNumber">
    <w:name w:val="page number"/>
    <w:basedOn w:val="DefaultParagraphFont"/>
    <w:rsid w:val="00754B9B"/>
  </w:style>
  <w:style w:type="character" w:customStyle="1" w:styleId="FootnoteTextChar2Char1">
    <w:name w:val="Footnote Text Char2 Char1"/>
    <w:aliases w:val="Footnote Text Char Char Char1,Footnote Text Char2 Char Char Char1,Footnote Text Char Char Char1 Char Char1,Footnote Text Char2 Char Char Char1 Char Char1,Footnote Text Char Char Char1 Char Char Char1 Char1"/>
    <w:semiHidden/>
    <w:rsid w:val="00065C64"/>
    <w:rPr>
      <w:lang w:val="en-US" w:eastAsia="en-US" w:bidi="ar-SA"/>
    </w:rPr>
  </w:style>
  <w:style w:type="paragraph" w:styleId="TOC1">
    <w:name w:val="toc 1"/>
    <w:basedOn w:val="Normal"/>
    <w:next w:val="Normal"/>
    <w:autoRedefine/>
    <w:uiPriority w:val="39"/>
    <w:unhideWhenUsed/>
    <w:qFormat/>
    <w:rsid w:val="00EB1505"/>
    <w:pPr>
      <w:widowControl/>
      <w:tabs>
        <w:tab w:val="right" w:leader="dot" w:pos="9350"/>
      </w:tabs>
      <w:autoSpaceDE/>
      <w:autoSpaceDN/>
      <w:adjustRightInd/>
      <w:spacing w:after="120"/>
      <w:ind w:left="720" w:hanging="720"/>
    </w:pPr>
    <w:rPr>
      <w:rFonts w:eastAsiaTheme="minorHAnsi" w:cstheme="minorBidi"/>
      <w:b/>
      <w:noProof/>
    </w:rPr>
  </w:style>
  <w:style w:type="paragraph" w:styleId="TOC2">
    <w:name w:val="toc 2"/>
    <w:basedOn w:val="Normal"/>
    <w:next w:val="Normal"/>
    <w:autoRedefine/>
    <w:uiPriority w:val="39"/>
    <w:unhideWhenUsed/>
    <w:qFormat/>
    <w:rsid w:val="00EB1505"/>
    <w:pPr>
      <w:widowControl/>
      <w:tabs>
        <w:tab w:val="right" w:leader="dot" w:pos="9360"/>
      </w:tabs>
      <w:autoSpaceDE/>
      <w:autoSpaceDN/>
      <w:adjustRightInd/>
      <w:spacing w:after="240" w:line="240" w:lineRule="auto"/>
      <w:ind w:left="1440" w:right="720" w:hanging="720"/>
    </w:pPr>
    <w:rPr>
      <w:rFonts w:eastAsiaTheme="minorHAnsi" w:cstheme="minorBidi"/>
      <w:b/>
      <w:noProof/>
    </w:rPr>
  </w:style>
  <w:style w:type="paragraph" w:styleId="TOC3">
    <w:name w:val="toc 3"/>
    <w:basedOn w:val="Normal"/>
    <w:next w:val="Normal"/>
    <w:autoRedefine/>
    <w:uiPriority w:val="39"/>
    <w:unhideWhenUsed/>
    <w:qFormat/>
    <w:rsid w:val="00EB1505"/>
    <w:pPr>
      <w:widowControl/>
      <w:tabs>
        <w:tab w:val="right" w:leader="dot" w:pos="9350"/>
      </w:tabs>
      <w:autoSpaceDE/>
      <w:autoSpaceDN/>
      <w:adjustRightInd/>
      <w:spacing w:after="120"/>
      <w:ind w:left="2160" w:hanging="720"/>
    </w:pPr>
    <w:rPr>
      <w:rFonts w:eastAsiaTheme="minorHAnsi" w:cstheme="minorBidi"/>
      <w:b/>
    </w:rPr>
  </w:style>
  <w:style w:type="paragraph" w:styleId="TOC4">
    <w:name w:val="toc 4"/>
    <w:basedOn w:val="Normal"/>
    <w:next w:val="Normal"/>
    <w:autoRedefine/>
    <w:uiPriority w:val="39"/>
    <w:unhideWhenUsed/>
    <w:qFormat/>
    <w:rsid w:val="00A90EC8"/>
    <w:pPr>
      <w:widowControl/>
      <w:tabs>
        <w:tab w:val="right" w:leader="dot" w:pos="9360"/>
      </w:tabs>
      <w:autoSpaceDE/>
      <w:autoSpaceDN/>
      <w:adjustRightInd/>
      <w:spacing w:after="240" w:line="240" w:lineRule="auto"/>
      <w:ind w:left="2880" w:right="720" w:hanging="720"/>
      <w:contextualSpacing/>
    </w:pPr>
    <w:rPr>
      <w:rFonts w:eastAsiaTheme="minorHAnsi" w:cstheme="minorBidi"/>
      <w:b/>
      <w:noProof/>
    </w:rPr>
  </w:style>
  <w:style w:type="character" w:customStyle="1" w:styleId="FootnoteTextChar2Char">
    <w:name w:val="Footnote Text Char2 Char"/>
    <w:aliases w:val="Footnote Text Char Char Char,Footnote Text Char2 Char Char Char,Footnote Text Char Char Char1 Char Char,Footnote Text Char2 Char Char Char1 Char Char,Footnote Text Char Char Char1 Char Char Char1 Char,Footnote Text Char Char1"/>
    <w:semiHidden/>
    <w:rsid w:val="00065C64"/>
    <w:rPr>
      <w:lang w:val="en-US" w:eastAsia="en-US" w:bidi="ar-SA"/>
    </w:rPr>
  </w:style>
  <w:style w:type="paragraph" w:styleId="Caption">
    <w:name w:val="caption"/>
    <w:basedOn w:val="Normal"/>
    <w:next w:val="Normal"/>
    <w:uiPriority w:val="35"/>
    <w:qFormat/>
    <w:rsid w:val="00846599"/>
    <w:pPr>
      <w:widowControl/>
      <w:autoSpaceDE/>
      <w:autoSpaceDN/>
      <w:adjustRightInd/>
    </w:pPr>
    <w:rPr>
      <w:szCs w:val="20"/>
    </w:rPr>
  </w:style>
  <w:style w:type="paragraph" w:styleId="ListParagraph">
    <w:name w:val="List Paragraph"/>
    <w:basedOn w:val="Normal"/>
    <w:link w:val="ListParagraphChar"/>
    <w:uiPriority w:val="34"/>
    <w:qFormat/>
    <w:rsid w:val="006F1069"/>
    <w:pPr>
      <w:widowControl/>
      <w:autoSpaceDE/>
      <w:autoSpaceDN/>
      <w:adjustRightInd/>
      <w:ind w:left="720"/>
    </w:pPr>
  </w:style>
  <w:style w:type="paragraph" w:customStyle="1" w:styleId="LGPUCFootnote">
    <w:name w:val="LG PUC Footnote"/>
    <w:basedOn w:val="Normal"/>
    <w:link w:val="LGPUCFootnoteChar"/>
    <w:rsid w:val="00862AF1"/>
    <w:pPr>
      <w:keepNext/>
      <w:widowControl/>
      <w:tabs>
        <w:tab w:val="left" w:pos="1080"/>
      </w:tabs>
      <w:autoSpaceDE/>
      <w:autoSpaceDN/>
      <w:adjustRightInd/>
      <w:spacing w:before="120" w:line="240" w:lineRule="exact"/>
    </w:pPr>
    <w:rPr>
      <w:sz w:val="20"/>
      <w:szCs w:val="20"/>
    </w:rPr>
  </w:style>
  <w:style w:type="character" w:customStyle="1" w:styleId="LGPUCFootnoteChar">
    <w:name w:val="LG PUC Footnote Char"/>
    <w:link w:val="LGPUCFootnote"/>
    <w:locked/>
    <w:rsid w:val="00862AF1"/>
    <w:rPr>
      <w:lang w:val="en-US" w:eastAsia="en-US" w:bidi="ar-SA"/>
    </w:rPr>
  </w:style>
  <w:style w:type="paragraph" w:customStyle="1" w:styleId="BodyText05DS">
    <w:name w:val="Body Text 0.5&quot; DS"/>
    <w:basedOn w:val="Normal"/>
    <w:link w:val="BodyText05DSChar"/>
    <w:rsid w:val="00F20B6F"/>
    <w:pPr>
      <w:widowControl/>
      <w:autoSpaceDE/>
      <w:autoSpaceDN/>
      <w:adjustRightInd/>
      <w:spacing w:line="480" w:lineRule="auto"/>
    </w:pPr>
    <w:rPr>
      <w:lang w:val="x-none" w:eastAsia="x-none"/>
    </w:rPr>
  </w:style>
  <w:style w:type="character" w:customStyle="1" w:styleId="BodyText05DSChar">
    <w:name w:val="Body Text 0.5&quot; DS Char"/>
    <w:link w:val="BodyText05DS"/>
    <w:locked/>
    <w:rsid w:val="00F20B6F"/>
    <w:rPr>
      <w:sz w:val="24"/>
      <w:szCs w:val="24"/>
      <w:lang w:val="x-none" w:eastAsia="x-none" w:bidi="ar-SA"/>
    </w:rPr>
  </w:style>
  <w:style w:type="paragraph" w:customStyle="1" w:styleId="BodyText05SS">
    <w:name w:val="Body Text 0.5&quot; SS"/>
    <w:basedOn w:val="Normal"/>
    <w:rsid w:val="00F20B6F"/>
    <w:pPr>
      <w:widowControl/>
      <w:autoSpaceDE/>
      <w:autoSpaceDN/>
      <w:adjustRightInd/>
      <w:spacing w:after="240"/>
    </w:pPr>
    <w:rPr>
      <w:lang w:val="x-none" w:eastAsia="x-none"/>
    </w:rPr>
  </w:style>
  <w:style w:type="paragraph" w:customStyle="1" w:styleId="COLNumbered">
    <w:name w:val="COL Numbered"/>
    <w:basedOn w:val="Normal"/>
    <w:uiPriority w:val="99"/>
    <w:rsid w:val="002D2597"/>
    <w:pPr>
      <w:widowControl/>
      <w:numPr>
        <w:numId w:val="16"/>
      </w:numPr>
      <w:autoSpaceDE/>
      <w:autoSpaceDN/>
      <w:adjustRightInd/>
      <w:spacing w:before="120"/>
    </w:pPr>
    <w:rPr>
      <w:rFonts w:eastAsia="Calibri"/>
      <w:szCs w:val="20"/>
    </w:rPr>
  </w:style>
  <w:style w:type="paragraph" w:customStyle="1" w:styleId="QuickI">
    <w:name w:val="Quick I."/>
    <w:basedOn w:val="Normal"/>
    <w:uiPriority w:val="99"/>
    <w:rsid w:val="0073719E"/>
    <w:pPr>
      <w:autoSpaceDE/>
      <w:autoSpaceDN/>
      <w:adjustRightInd/>
    </w:pPr>
    <w:rPr>
      <w:rFonts w:ascii="Arial" w:hAnsi="Arial" w:cs="Arial"/>
    </w:rPr>
  </w:style>
  <w:style w:type="paragraph" w:customStyle="1" w:styleId="QuestionwQ">
    <w:name w:val="Question w/Q."/>
    <w:basedOn w:val="Normal"/>
    <w:next w:val="Normal"/>
    <w:rsid w:val="009F2F21"/>
    <w:pPr>
      <w:widowControl/>
      <w:overflowPunct w:val="0"/>
      <w:spacing w:before="240" w:line="480" w:lineRule="auto"/>
      <w:ind w:left="720" w:hanging="720"/>
    </w:pPr>
    <w:rPr>
      <w:b/>
      <w:szCs w:val="20"/>
    </w:rPr>
  </w:style>
  <w:style w:type="paragraph" w:styleId="BodyTextFirstIndent">
    <w:name w:val="Body Text First Indent"/>
    <w:basedOn w:val="BodyText"/>
    <w:link w:val="BodyTextFirstIndentChar"/>
    <w:qFormat/>
    <w:rsid w:val="0037003D"/>
    <w:pPr>
      <w:widowControl w:val="0"/>
      <w:spacing w:after="120" w:line="240" w:lineRule="auto"/>
      <w:ind w:firstLine="210"/>
      <w:jc w:val="left"/>
    </w:pPr>
  </w:style>
  <w:style w:type="character" w:customStyle="1" w:styleId="FootnoteTextChar">
    <w:name w:val="Footnote Text Char"/>
    <w:aliases w:val="Style 13 Char,Style 22 Char,Style 12 Char,Style 9 Char,fn Char,Footnote Text Char Char Char Char Char Char Char Char Char Char,BG Footnote Text Char,TBG Style Char,footnote text1 Char,Car Char,Footnote Text Char Char1 Char,Char Char"/>
    <w:uiPriority w:val="99"/>
    <w:locked/>
    <w:rsid w:val="00A524EC"/>
    <w:rPr>
      <w:lang w:val="en-US" w:eastAsia="en-US" w:bidi="ar-SA"/>
    </w:rPr>
  </w:style>
  <w:style w:type="character" w:customStyle="1" w:styleId="FootnoteTextChar1CharChar">
    <w:name w:val="Footnote Text Char1 Char Char"/>
    <w:aliases w:val="Footnote Text Char Char Char Char,Footnote Text Char1 Char Char Char Char,ALTS FOOTNOTE Char Char Char Char Char,fn Char Char Char Char Char,Footnote Text Char Char Char Char Char Char,Footnote Text Char1 Char Char1"/>
    <w:rsid w:val="00A524EC"/>
    <w:rPr>
      <w:lang w:val="en-US" w:eastAsia="en-US" w:bidi="ar-SA"/>
    </w:rPr>
  </w:style>
  <w:style w:type="character" w:styleId="CommentReference">
    <w:name w:val="annotation reference"/>
    <w:uiPriority w:val="99"/>
    <w:semiHidden/>
    <w:rsid w:val="004944AA"/>
    <w:rPr>
      <w:rFonts w:cs="Times New Roman"/>
      <w:sz w:val="16"/>
      <w:szCs w:val="16"/>
    </w:rPr>
  </w:style>
  <w:style w:type="paragraph" w:customStyle="1" w:styleId="PCROutline1">
    <w:name w:val="PCR Outline1"/>
    <w:uiPriority w:val="99"/>
    <w:rsid w:val="003C3E30"/>
    <w:pPr>
      <w:keepNext/>
      <w:numPr>
        <w:numId w:val="17"/>
      </w:numPr>
      <w:tabs>
        <w:tab w:val="left" w:pos="720"/>
      </w:tabs>
      <w:spacing w:after="240"/>
      <w:jc w:val="center"/>
      <w:outlineLvl w:val="0"/>
    </w:pPr>
    <w:rPr>
      <w:rFonts w:eastAsia="Calibri"/>
      <w:b/>
      <w:sz w:val="24"/>
      <w:szCs w:val="24"/>
    </w:rPr>
  </w:style>
  <w:style w:type="paragraph" w:customStyle="1" w:styleId="PCROutline2">
    <w:name w:val="PCR Outline2"/>
    <w:uiPriority w:val="99"/>
    <w:rsid w:val="003C3E30"/>
    <w:pPr>
      <w:keepNext/>
      <w:numPr>
        <w:ilvl w:val="1"/>
        <w:numId w:val="17"/>
      </w:numPr>
      <w:spacing w:after="240"/>
      <w:ind w:left="720"/>
      <w:jc w:val="both"/>
      <w:outlineLvl w:val="1"/>
    </w:pPr>
    <w:rPr>
      <w:rFonts w:eastAsia="Calibri"/>
      <w:b/>
      <w:sz w:val="24"/>
      <w:szCs w:val="24"/>
    </w:rPr>
  </w:style>
  <w:style w:type="paragraph" w:customStyle="1" w:styleId="PCROutline3">
    <w:name w:val="PCR Outline3"/>
    <w:uiPriority w:val="99"/>
    <w:rsid w:val="003C3E30"/>
    <w:pPr>
      <w:keepNext/>
      <w:numPr>
        <w:ilvl w:val="2"/>
        <w:numId w:val="17"/>
      </w:numPr>
      <w:tabs>
        <w:tab w:val="left" w:pos="1440"/>
      </w:tabs>
      <w:spacing w:after="240"/>
      <w:ind w:left="1440"/>
      <w:jc w:val="both"/>
      <w:outlineLvl w:val="2"/>
    </w:pPr>
    <w:rPr>
      <w:rFonts w:eastAsia="Calibri"/>
      <w:b/>
      <w:sz w:val="24"/>
      <w:szCs w:val="24"/>
    </w:rPr>
  </w:style>
  <w:style w:type="paragraph" w:customStyle="1" w:styleId="PCROutline4">
    <w:name w:val="PCR Outline4"/>
    <w:uiPriority w:val="99"/>
    <w:rsid w:val="003C3E30"/>
    <w:pPr>
      <w:keepNext/>
      <w:numPr>
        <w:ilvl w:val="3"/>
        <w:numId w:val="17"/>
      </w:numPr>
      <w:tabs>
        <w:tab w:val="left" w:pos="2160"/>
      </w:tabs>
      <w:spacing w:after="240"/>
      <w:ind w:left="2160"/>
      <w:jc w:val="both"/>
      <w:outlineLvl w:val="3"/>
    </w:pPr>
    <w:rPr>
      <w:rFonts w:eastAsia="Calibri"/>
      <w:b/>
      <w:sz w:val="24"/>
      <w:szCs w:val="24"/>
    </w:rPr>
  </w:style>
  <w:style w:type="paragraph" w:customStyle="1" w:styleId="PCROutline5">
    <w:name w:val="PCR Outline5"/>
    <w:uiPriority w:val="99"/>
    <w:rsid w:val="003C3E30"/>
    <w:pPr>
      <w:keepNext/>
      <w:numPr>
        <w:ilvl w:val="4"/>
        <w:numId w:val="17"/>
      </w:numPr>
      <w:spacing w:after="240"/>
      <w:jc w:val="both"/>
      <w:outlineLvl w:val="4"/>
    </w:pPr>
    <w:rPr>
      <w:rFonts w:eastAsia="Calibri"/>
      <w:b/>
      <w:sz w:val="24"/>
      <w:szCs w:val="24"/>
    </w:rPr>
  </w:style>
  <w:style w:type="paragraph" w:customStyle="1" w:styleId="PCROutline6">
    <w:name w:val="PCR Outline6"/>
    <w:uiPriority w:val="99"/>
    <w:rsid w:val="003C3E30"/>
    <w:pPr>
      <w:numPr>
        <w:ilvl w:val="5"/>
        <w:numId w:val="17"/>
      </w:numPr>
      <w:spacing w:after="240"/>
      <w:jc w:val="both"/>
      <w:outlineLvl w:val="5"/>
    </w:pPr>
    <w:rPr>
      <w:rFonts w:eastAsia="Calibri"/>
      <w:b/>
      <w:sz w:val="24"/>
      <w:szCs w:val="24"/>
    </w:rPr>
  </w:style>
  <w:style w:type="paragraph" w:customStyle="1" w:styleId="PCROutline7">
    <w:name w:val="PCR Outline7"/>
    <w:uiPriority w:val="99"/>
    <w:rsid w:val="003C3E30"/>
    <w:pPr>
      <w:numPr>
        <w:ilvl w:val="6"/>
        <w:numId w:val="17"/>
      </w:numPr>
      <w:spacing w:after="240"/>
      <w:jc w:val="both"/>
      <w:outlineLvl w:val="6"/>
    </w:pPr>
    <w:rPr>
      <w:rFonts w:eastAsia="Calibri"/>
      <w:b/>
      <w:sz w:val="24"/>
      <w:szCs w:val="24"/>
    </w:rPr>
  </w:style>
  <w:style w:type="paragraph" w:customStyle="1" w:styleId="PCROutline8">
    <w:name w:val="PCR Outline8"/>
    <w:uiPriority w:val="99"/>
    <w:rsid w:val="003C3E30"/>
    <w:pPr>
      <w:numPr>
        <w:ilvl w:val="7"/>
        <w:numId w:val="17"/>
      </w:numPr>
      <w:spacing w:after="240"/>
      <w:jc w:val="both"/>
      <w:outlineLvl w:val="7"/>
    </w:pPr>
    <w:rPr>
      <w:rFonts w:eastAsia="Calibri"/>
      <w:b/>
      <w:sz w:val="24"/>
      <w:szCs w:val="24"/>
    </w:rPr>
  </w:style>
  <w:style w:type="paragraph" w:customStyle="1" w:styleId="PCROutline9">
    <w:name w:val="PCR Outline9"/>
    <w:uiPriority w:val="99"/>
    <w:rsid w:val="003C3E30"/>
    <w:pPr>
      <w:numPr>
        <w:ilvl w:val="8"/>
        <w:numId w:val="17"/>
      </w:numPr>
      <w:spacing w:after="240"/>
      <w:jc w:val="both"/>
      <w:outlineLvl w:val="8"/>
    </w:pPr>
    <w:rPr>
      <w:rFonts w:eastAsia="Calibri"/>
      <w:b/>
      <w:sz w:val="24"/>
      <w:szCs w:val="24"/>
    </w:rPr>
  </w:style>
  <w:style w:type="paragraph" w:customStyle="1" w:styleId="BodyTextcont">
    <w:name w:val="Body Text cont."/>
    <w:basedOn w:val="BodyText"/>
    <w:rsid w:val="003C2D67"/>
    <w:pPr>
      <w:autoSpaceDE/>
      <w:autoSpaceDN/>
      <w:adjustRightInd/>
      <w:spacing w:after="0" w:line="480" w:lineRule="auto"/>
      <w:ind w:firstLine="0"/>
    </w:pPr>
    <w:rPr>
      <w:szCs w:val="20"/>
    </w:rPr>
  </w:style>
  <w:style w:type="paragraph" w:customStyle="1" w:styleId="LGBodyTextDD">
    <w:name w:val="LG BodyTextDD"/>
    <w:basedOn w:val="BodyText"/>
    <w:link w:val="LGBodyTextDDChar"/>
    <w:rsid w:val="003C2D67"/>
    <w:pPr>
      <w:tabs>
        <w:tab w:val="left" w:pos="720"/>
      </w:tabs>
      <w:autoSpaceDE/>
      <w:autoSpaceDN/>
      <w:adjustRightInd/>
      <w:spacing w:after="0" w:line="520" w:lineRule="exact"/>
    </w:pPr>
    <w:rPr>
      <w:szCs w:val="20"/>
    </w:rPr>
  </w:style>
  <w:style w:type="character" w:customStyle="1" w:styleId="LGBodyTextDDChar">
    <w:name w:val="LG BodyTextDD Char"/>
    <w:link w:val="LGBodyTextDD"/>
    <w:locked/>
    <w:rsid w:val="003C2D67"/>
    <w:rPr>
      <w:sz w:val="24"/>
      <w:lang w:val="en-US" w:eastAsia="en-US" w:bidi="ar-SA"/>
    </w:rPr>
  </w:style>
  <w:style w:type="paragraph" w:customStyle="1" w:styleId="Quote1">
    <w:name w:val="Quote 1&quot;"/>
    <w:basedOn w:val="Normal"/>
    <w:rsid w:val="00CA1C49"/>
    <w:pPr>
      <w:widowControl/>
      <w:autoSpaceDE/>
      <w:autoSpaceDN/>
      <w:adjustRightInd/>
      <w:spacing w:after="240"/>
      <w:ind w:left="1440" w:right="1440"/>
    </w:pPr>
    <w:rPr>
      <w:lang w:val="x-none" w:eastAsia="x-none"/>
    </w:rPr>
  </w:style>
  <w:style w:type="paragraph" w:customStyle="1" w:styleId="LGBlockText">
    <w:name w:val="LG BlockText"/>
    <w:basedOn w:val="BlockText"/>
    <w:next w:val="Normal"/>
    <w:rsid w:val="001B74D4"/>
    <w:pPr>
      <w:spacing w:before="240" w:after="240"/>
      <w:ind w:left="1440" w:right="1440"/>
    </w:pPr>
  </w:style>
  <w:style w:type="paragraph" w:styleId="ListBullet3">
    <w:name w:val="List Bullet 3"/>
    <w:basedOn w:val="Normal"/>
    <w:rsid w:val="00217687"/>
    <w:pPr>
      <w:numPr>
        <w:ilvl w:val="1"/>
        <w:numId w:val="9"/>
      </w:numPr>
    </w:pPr>
  </w:style>
  <w:style w:type="paragraph" w:styleId="ListBullet4">
    <w:name w:val="List Bullet 4"/>
    <w:basedOn w:val="Normal"/>
    <w:link w:val="ListBullet4Char"/>
    <w:rsid w:val="00217687"/>
    <w:pPr>
      <w:numPr>
        <w:numId w:val="18"/>
      </w:numPr>
    </w:pPr>
  </w:style>
  <w:style w:type="character" w:customStyle="1" w:styleId="ListBullet4Char">
    <w:name w:val="List Bullet 4 Char"/>
    <w:link w:val="ListBullet4"/>
    <w:rsid w:val="00217687"/>
    <w:rPr>
      <w:sz w:val="24"/>
      <w:szCs w:val="24"/>
    </w:rPr>
  </w:style>
  <w:style w:type="paragraph" w:styleId="ListBullet5">
    <w:name w:val="List Bullet 5"/>
    <w:basedOn w:val="Normal"/>
    <w:link w:val="ListBullet5Char"/>
    <w:rsid w:val="00217687"/>
  </w:style>
  <w:style w:type="character" w:customStyle="1" w:styleId="ListBullet5Char">
    <w:name w:val="List Bullet 5 Char"/>
    <w:link w:val="ListBullet5"/>
    <w:rsid w:val="00217687"/>
    <w:rPr>
      <w:sz w:val="24"/>
      <w:szCs w:val="24"/>
      <w:lang w:val="en-US" w:eastAsia="en-US" w:bidi="ar-SA"/>
    </w:rPr>
  </w:style>
  <w:style w:type="paragraph" w:customStyle="1" w:styleId="StyleListBullet5Bold">
    <w:name w:val="Style List Bullet 5 + Bold"/>
    <w:basedOn w:val="ListBullet5"/>
    <w:link w:val="StyleListBullet5BoldChar"/>
    <w:rsid w:val="00217687"/>
    <w:pPr>
      <w:numPr>
        <w:numId w:val="19"/>
      </w:numPr>
      <w:spacing w:after="360"/>
    </w:pPr>
    <w:rPr>
      <w:b/>
      <w:bCs/>
    </w:rPr>
  </w:style>
  <w:style w:type="character" w:customStyle="1" w:styleId="StyleListBullet5BoldChar">
    <w:name w:val="Style List Bullet 5 + Bold Char"/>
    <w:link w:val="StyleListBullet5Bold"/>
    <w:rsid w:val="00217687"/>
    <w:rPr>
      <w:b/>
      <w:bCs/>
      <w:sz w:val="24"/>
      <w:szCs w:val="24"/>
    </w:rPr>
  </w:style>
  <w:style w:type="paragraph" w:customStyle="1" w:styleId="StyleListBullet5Bold1">
    <w:name w:val="Style List Bullet 5 + Bold1"/>
    <w:basedOn w:val="ListBullet5"/>
    <w:link w:val="StyleListBullet5Bold1Char"/>
    <w:rsid w:val="00217687"/>
    <w:pPr>
      <w:numPr>
        <w:numId w:val="20"/>
      </w:numPr>
    </w:pPr>
    <w:rPr>
      <w:b/>
      <w:bCs/>
    </w:rPr>
  </w:style>
  <w:style w:type="character" w:customStyle="1" w:styleId="StyleListBullet5Bold1Char">
    <w:name w:val="Style List Bullet 5 + Bold1 Char"/>
    <w:link w:val="StyleListBullet5Bold1"/>
    <w:rsid w:val="00217687"/>
    <w:rPr>
      <w:b/>
      <w:bCs/>
      <w:sz w:val="24"/>
      <w:szCs w:val="24"/>
    </w:rPr>
  </w:style>
  <w:style w:type="paragraph" w:customStyle="1" w:styleId="StyleListBullet4Bold">
    <w:name w:val="Style List Bullet 4 + Bold"/>
    <w:basedOn w:val="ListBullet4"/>
    <w:link w:val="StyleListBullet4BoldChar"/>
    <w:rsid w:val="00217687"/>
    <w:pPr>
      <w:spacing w:after="360"/>
    </w:pPr>
    <w:rPr>
      <w:b/>
      <w:bCs/>
    </w:rPr>
  </w:style>
  <w:style w:type="character" w:customStyle="1" w:styleId="StyleListBullet4BoldChar">
    <w:name w:val="Style List Bullet 4 + Bold Char"/>
    <w:link w:val="StyleListBullet4Bold"/>
    <w:rsid w:val="00217687"/>
    <w:rPr>
      <w:b/>
      <w:bCs/>
      <w:sz w:val="24"/>
      <w:szCs w:val="24"/>
    </w:rPr>
  </w:style>
  <w:style w:type="paragraph" w:customStyle="1" w:styleId="NormalLeft0">
    <w:name w:val="Normal + Left:  0&quot;"/>
    <w:aliases w:val="Hanging:  0.5&quot;,Line spacing:  Double"/>
    <w:basedOn w:val="NormalWeb"/>
    <w:link w:val="NormalLeft0Char"/>
    <w:rsid w:val="003535D0"/>
    <w:pPr>
      <w:widowControl/>
      <w:autoSpaceDE/>
      <w:autoSpaceDN/>
      <w:adjustRightInd/>
      <w:spacing w:line="480" w:lineRule="auto"/>
    </w:pPr>
  </w:style>
  <w:style w:type="paragraph" w:styleId="NormalWeb">
    <w:name w:val="Normal (Web)"/>
    <w:basedOn w:val="Normal"/>
    <w:uiPriority w:val="99"/>
    <w:rsid w:val="003535D0"/>
  </w:style>
  <w:style w:type="character" w:customStyle="1" w:styleId="NormalLeft0Char">
    <w:name w:val="Normal + Left:  0&quot; Char"/>
    <w:aliases w:val="Hanging:  0.5&quot; Char,Line spacing:  Double Char Char"/>
    <w:link w:val="NormalLeft0"/>
    <w:locked/>
    <w:rsid w:val="003535D0"/>
    <w:rPr>
      <w:sz w:val="24"/>
      <w:szCs w:val="24"/>
      <w:lang w:val="en-US" w:eastAsia="en-US" w:bidi="ar-SA"/>
    </w:rPr>
  </w:style>
  <w:style w:type="character" w:customStyle="1" w:styleId="evdictionarytext1">
    <w:name w:val="evdictionarytext1"/>
    <w:rsid w:val="00DB56EF"/>
    <w:rPr>
      <w:rFonts w:ascii="Arial" w:hAnsi="Arial" w:cs="Arial" w:hint="default"/>
      <w:b w:val="0"/>
      <w:bCs w:val="0"/>
      <w:color w:val="000000"/>
      <w:sz w:val="20"/>
      <w:szCs w:val="20"/>
    </w:rPr>
  </w:style>
  <w:style w:type="paragraph" w:styleId="CommentText">
    <w:name w:val="annotation text"/>
    <w:basedOn w:val="Normal"/>
    <w:link w:val="CommentTextChar"/>
    <w:uiPriority w:val="99"/>
    <w:rsid w:val="00DF1DDB"/>
    <w:rPr>
      <w:sz w:val="20"/>
      <w:szCs w:val="20"/>
    </w:rPr>
  </w:style>
  <w:style w:type="character" w:customStyle="1" w:styleId="CommentTextChar">
    <w:name w:val="Comment Text Char"/>
    <w:basedOn w:val="DefaultParagraphFont"/>
    <w:link w:val="CommentText"/>
    <w:uiPriority w:val="99"/>
    <w:rsid w:val="00DF1DDB"/>
  </w:style>
  <w:style w:type="paragraph" w:styleId="CommentSubject">
    <w:name w:val="annotation subject"/>
    <w:basedOn w:val="CommentText"/>
    <w:next w:val="CommentText"/>
    <w:link w:val="CommentSubjectChar"/>
    <w:uiPriority w:val="99"/>
    <w:rsid w:val="00DF1DDB"/>
    <w:rPr>
      <w:b/>
      <w:bCs/>
    </w:rPr>
  </w:style>
  <w:style w:type="character" w:customStyle="1" w:styleId="CommentSubjectChar">
    <w:name w:val="Comment Subject Char"/>
    <w:link w:val="CommentSubject"/>
    <w:uiPriority w:val="99"/>
    <w:rsid w:val="00DF1DDB"/>
    <w:rPr>
      <w:b/>
      <w:bCs/>
    </w:rPr>
  </w:style>
  <w:style w:type="paragraph" w:styleId="TOC5">
    <w:name w:val="toc 5"/>
    <w:basedOn w:val="Normal"/>
    <w:next w:val="Normal"/>
    <w:autoRedefine/>
    <w:uiPriority w:val="39"/>
    <w:unhideWhenUsed/>
    <w:qFormat/>
    <w:rsid w:val="00A201FB"/>
    <w:pPr>
      <w:widowControl/>
      <w:tabs>
        <w:tab w:val="left" w:pos="2880"/>
        <w:tab w:val="right" w:leader="dot" w:pos="9350"/>
      </w:tabs>
      <w:autoSpaceDE/>
      <w:autoSpaceDN/>
      <w:adjustRightInd/>
      <w:spacing w:after="240"/>
      <w:ind w:left="3600" w:hanging="720"/>
      <w:contextualSpacing/>
    </w:pPr>
    <w:rPr>
      <w:rFonts w:eastAsiaTheme="minorHAnsi" w:cstheme="minorBidi"/>
      <w:b/>
      <w:noProof/>
    </w:rPr>
  </w:style>
  <w:style w:type="paragraph" w:styleId="TOC6">
    <w:name w:val="toc 6"/>
    <w:basedOn w:val="Normal"/>
    <w:next w:val="Normal"/>
    <w:autoRedefine/>
    <w:uiPriority w:val="39"/>
    <w:unhideWhenUsed/>
    <w:rsid w:val="00D43237"/>
    <w:pPr>
      <w:widowControl/>
      <w:autoSpaceDE/>
      <w:autoSpaceDN/>
      <w:adjustRightInd/>
      <w:spacing w:after="100"/>
      <w:ind w:left="1200"/>
    </w:pPr>
    <w:rPr>
      <w:rFonts w:eastAsiaTheme="minorHAnsi" w:cstheme="minorBidi"/>
      <w:b/>
    </w:rPr>
  </w:style>
  <w:style w:type="paragraph" w:styleId="TOC7">
    <w:name w:val="toc 7"/>
    <w:basedOn w:val="Normal"/>
    <w:next w:val="Normal"/>
    <w:autoRedefine/>
    <w:uiPriority w:val="39"/>
    <w:unhideWhenUsed/>
    <w:rsid w:val="00D43237"/>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D54F58"/>
    <w:pPr>
      <w:widowControl/>
      <w:autoSpaceDE/>
      <w:autoSpaceDN/>
      <w:adjustRightInd/>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D54F58"/>
    <w:pPr>
      <w:widowControl/>
      <w:autoSpaceDE/>
      <w:autoSpaceDN/>
      <w:adjustRightInd/>
      <w:spacing w:after="100" w:line="276" w:lineRule="auto"/>
      <w:ind w:left="1760"/>
    </w:pPr>
    <w:rPr>
      <w:rFonts w:ascii="Calibri" w:hAnsi="Calibri"/>
      <w:sz w:val="22"/>
      <w:szCs w:val="22"/>
    </w:rPr>
  </w:style>
  <w:style w:type="paragraph" w:customStyle="1" w:styleId="Testimony">
    <w:name w:val="Testimony"/>
    <w:qFormat/>
    <w:rsid w:val="00290F43"/>
    <w:pPr>
      <w:spacing w:line="480" w:lineRule="auto"/>
      <w:ind w:left="720" w:hanging="720"/>
      <w:jc w:val="both"/>
    </w:pPr>
    <w:rPr>
      <w:sz w:val="24"/>
      <w:szCs w:val="24"/>
    </w:rPr>
  </w:style>
  <w:style w:type="character" w:customStyle="1" w:styleId="BodyTextFirstIndentChar">
    <w:name w:val="Body Text First Indent Char"/>
    <w:link w:val="BodyTextFirstIndent"/>
    <w:rsid w:val="00B60A1A"/>
    <w:rPr>
      <w:sz w:val="24"/>
      <w:szCs w:val="24"/>
    </w:rPr>
  </w:style>
  <w:style w:type="paragraph" w:customStyle="1" w:styleId="Footnote">
    <w:name w:val="Footnote"/>
    <w:basedOn w:val="FootnoteText"/>
    <w:link w:val="FootnoteChar"/>
    <w:autoRedefine/>
    <w:uiPriority w:val="99"/>
    <w:qFormat/>
    <w:rsid w:val="00B60A1A"/>
    <w:pPr>
      <w:tabs>
        <w:tab w:val="left" w:pos="432"/>
      </w:tabs>
      <w:autoSpaceDE/>
      <w:autoSpaceDN/>
      <w:adjustRightInd/>
      <w:ind w:firstLine="720"/>
    </w:pPr>
  </w:style>
  <w:style w:type="paragraph" w:customStyle="1" w:styleId="Citationfor111">
    <w:name w:val="Citation for 1.1.1"/>
    <w:basedOn w:val="Normal"/>
    <w:link w:val="Citationfor111Char"/>
    <w:qFormat/>
    <w:rsid w:val="00FD4139"/>
    <w:pPr>
      <w:widowControl/>
      <w:autoSpaceDE/>
      <w:autoSpaceDN/>
      <w:adjustRightInd/>
      <w:spacing w:before="60" w:after="60"/>
      <w:ind w:left="1872" w:right="1872"/>
    </w:pPr>
    <w:rPr>
      <w:sz w:val="20"/>
      <w:szCs w:val="20"/>
    </w:rPr>
  </w:style>
  <w:style w:type="character" w:customStyle="1" w:styleId="Citationfor111Char">
    <w:name w:val="Citation for 1.1.1 Char"/>
    <w:link w:val="Citationfor111"/>
    <w:rsid w:val="00FD4139"/>
  </w:style>
  <w:style w:type="paragraph" w:styleId="Revision">
    <w:name w:val="Revision"/>
    <w:hidden/>
    <w:uiPriority w:val="99"/>
    <w:semiHidden/>
    <w:rsid w:val="004556A0"/>
    <w:rPr>
      <w:sz w:val="24"/>
      <w:szCs w:val="24"/>
    </w:rPr>
  </w:style>
  <w:style w:type="paragraph" w:customStyle="1" w:styleId="TableParagraph">
    <w:name w:val="Table Paragraph"/>
    <w:basedOn w:val="Normal"/>
    <w:uiPriority w:val="1"/>
    <w:qFormat/>
    <w:rsid w:val="004556A0"/>
    <w:pPr>
      <w:widowControl/>
      <w:ind w:firstLine="360"/>
    </w:pPr>
    <w:rPr>
      <w:rFonts w:eastAsia="Calibri"/>
    </w:rPr>
  </w:style>
  <w:style w:type="table" w:customStyle="1" w:styleId="TableGrid1">
    <w:name w:val="Table Grid1"/>
    <w:basedOn w:val="TableNormal"/>
    <w:next w:val="TableGrid"/>
    <w:rsid w:val="004556A0"/>
    <w:pPr>
      <w:spacing w:after="24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IMONY0">
    <w:name w:val="TESTIMONY"/>
    <w:basedOn w:val="Normal"/>
    <w:rsid w:val="004556A0"/>
    <w:pPr>
      <w:autoSpaceDE/>
      <w:autoSpaceDN/>
      <w:adjustRightInd/>
      <w:spacing w:line="480" w:lineRule="auto"/>
      <w:ind w:left="720" w:hanging="720"/>
    </w:pPr>
    <w:rPr>
      <w:szCs w:val="20"/>
    </w:rPr>
  </w:style>
  <w:style w:type="paragraph" w:customStyle="1" w:styleId="testimony1">
    <w:name w:val="testimony"/>
    <w:basedOn w:val="Normal"/>
    <w:rsid w:val="004556A0"/>
    <w:pPr>
      <w:widowControl/>
      <w:autoSpaceDE/>
      <w:autoSpaceDN/>
      <w:adjustRightInd/>
      <w:spacing w:line="480" w:lineRule="auto"/>
      <w:ind w:left="720" w:hanging="720"/>
    </w:pPr>
    <w:rPr>
      <w:rFonts w:ascii="Courier New" w:hAnsi="Courier New"/>
      <w:szCs w:val="20"/>
    </w:rPr>
  </w:style>
  <w:style w:type="paragraph" w:customStyle="1" w:styleId="CTWOutline1">
    <w:name w:val="CTW Outline1"/>
    <w:rsid w:val="004556A0"/>
    <w:pPr>
      <w:tabs>
        <w:tab w:val="num" w:pos="720"/>
      </w:tabs>
      <w:spacing w:after="240"/>
      <w:ind w:left="720" w:hanging="720"/>
      <w:jc w:val="both"/>
      <w:outlineLvl w:val="0"/>
    </w:pPr>
    <w:rPr>
      <w:sz w:val="24"/>
      <w:szCs w:val="24"/>
    </w:rPr>
  </w:style>
  <w:style w:type="paragraph" w:customStyle="1" w:styleId="CTWOutline2">
    <w:name w:val="CTW Outline2"/>
    <w:rsid w:val="004556A0"/>
    <w:pPr>
      <w:tabs>
        <w:tab w:val="num" w:pos="720"/>
      </w:tabs>
      <w:spacing w:after="240"/>
      <w:ind w:left="1440" w:hanging="720"/>
      <w:jc w:val="both"/>
      <w:outlineLvl w:val="1"/>
    </w:pPr>
    <w:rPr>
      <w:sz w:val="24"/>
      <w:szCs w:val="24"/>
    </w:rPr>
  </w:style>
  <w:style w:type="paragraph" w:customStyle="1" w:styleId="CTWOutline3">
    <w:name w:val="CTW Outline3"/>
    <w:rsid w:val="004556A0"/>
    <w:pPr>
      <w:tabs>
        <w:tab w:val="num" w:pos="720"/>
      </w:tabs>
      <w:spacing w:after="240"/>
      <w:ind w:left="2160" w:hanging="720"/>
      <w:jc w:val="both"/>
      <w:outlineLvl w:val="2"/>
    </w:pPr>
    <w:rPr>
      <w:sz w:val="24"/>
      <w:szCs w:val="24"/>
    </w:rPr>
  </w:style>
  <w:style w:type="paragraph" w:customStyle="1" w:styleId="CTWOutline4">
    <w:name w:val="CTW Outline4"/>
    <w:rsid w:val="004556A0"/>
    <w:pPr>
      <w:tabs>
        <w:tab w:val="num" w:pos="720"/>
      </w:tabs>
      <w:spacing w:after="240"/>
      <w:ind w:left="2880" w:hanging="720"/>
      <w:jc w:val="both"/>
      <w:outlineLvl w:val="3"/>
    </w:pPr>
    <w:rPr>
      <w:sz w:val="24"/>
      <w:szCs w:val="24"/>
    </w:rPr>
  </w:style>
  <w:style w:type="paragraph" w:customStyle="1" w:styleId="CTWOutline5">
    <w:name w:val="CTW Outline5"/>
    <w:rsid w:val="004556A0"/>
    <w:pPr>
      <w:tabs>
        <w:tab w:val="num" w:pos="720"/>
      </w:tabs>
      <w:spacing w:after="240"/>
      <w:ind w:left="3600" w:hanging="720"/>
      <w:jc w:val="both"/>
      <w:outlineLvl w:val="4"/>
    </w:pPr>
    <w:rPr>
      <w:sz w:val="24"/>
      <w:szCs w:val="24"/>
    </w:rPr>
  </w:style>
  <w:style w:type="paragraph" w:customStyle="1" w:styleId="CTWOutline6">
    <w:name w:val="CTW Outline6"/>
    <w:rsid w:val="004556A0"/>
    <w:pPr>
      <w:tabs>
        <w:tab w:val="num" w:pos="720"/>
      </w:tabs>
      <w:spacing w:after="240"/>
      <w:ind w:left="4320" w:hanging="720"/>
      <w:jc w:val="both"/>
      <w:outlineLvl w:val="5"/>
    </w:pPr>
    <w:rPr>
      <w:sz w:val="24"/>
      <w:szCs w:val="24"/>
    </w:rPr>
  </w:style>
  <w:style w:type="paragraph" w:customStyle="1" w:styleId="CTWOutline7">
    <w:name w:val="CTW Outline7"/>
    <w:rsid w:val="004556A0"/>
    <w:pPr>
      <w:tabs>
        <w:tab w:val="num" w:pos="720"/>
      </w:tabs>
      <w:spacing w:after="240"/>
      <w:ind w:left="5040" w:hanging="720"/>
      <w:jc w:val="both"/>
      <w:outlineLvl w:val="6"/>
    </w:pPr>
    <w:rPr>
      <w:sz w:val="24"/>
      <w:szCs w:val="24"/>
    </w:rPr>
  </w:style>
  <w:style w:type="paragraph" w:customStyle="1" w:styleId="CTWOutline8">
    <w:name w:val="CTW Outline8"/>
    <w:rsid w:val="004556A0"/>
    <w:pPr>
      <w:tabs>
        <w:tab w:val="num" w:pos="720"/>
      </w:tabs>
      <w:spacing w:after="240"/>
      <w:ind w:left="5760" w:hanging="720"/>
      <w:jc w:val="both"/>
      <w:outlineLvl w:val="7"/>
    </w:pPr>
    <w:rPr>
      <w:sz w:val="24"/>
      <w:szCs w:val="24"/>
    </w:rPr>
  </w:style>
  <w:style w:type="paragraph" w:customStyle="1" w:styleId="CTWOutline9">
    <w:name w:val="CTW Outline9"/>
    <w:rsid w:val="004556A0"/>
    <w:pPr>
      <w:tabs>
        <w:tab w:val="num" w:pos="720"/>
      </w:tabs>
      <w:spacing w:after="240"/>
      <w:ind w:left="6480" w:hanging="720"/>
      <w:jc w:val="both"/>
      <w:outlineLvl w:val="8"/>
    </w:pPr>
    <w:rPr>
      <w:sz w:val="24"/>
      <w:szCs w:val="24"/>
    </w:rPr>
  </w:style>
  <w:style w:type="paragraph" w:customStyle="1" w:styleId="TestimonyAnswerAfterTable">
    <w:name w:val="Testimony Answer (After Table)"/>
    <w:basedOn w:val="Normal"/>
    <w:qFormat/>
    <w:rsid w:val="004E7890"/>
    <w:pPr>
      <w:widowControl/>
      <w:tabs>
        <w:tab w:val="left" w:pos="720"/>
        <w:tab w:val="right" w:leader="dot" w:pos="8640"/>
        <w:tab w:val="left" w:pos="9240"/>
      </w:tabs>
      <w:autoSpaceDE/>
      <w:autoSpaceDN/>
      <w:adjustRightInd/>
      <w:spacing w:before="200" w:after="240"/>
      <w:ind w:left="720" w:hanging="720"/>
    </w:pPr>
  </w:style>
  <w:style w:type="character" w:customStyle="1" w:styleId="Heading4Char">
    <w:name w:val="Heading 4 Char"/>
    <w:link w:val="Heading4"/>
    <w:uiPriority w:val="10"/>
    <w:rsid w:val="0064124D"/>
    <w:rPr>
      <w:b/>
      <w:bCs/>
      <w:sz w:val="24"/>
      <w:szCs w:val="28"/>
    </w:rPr>
  </w:style>
  <w:style w:type="character" w:customStyle="1" w:styleId="AnswerChar">
    <w:name w:val="Answer Char"/>
    <w:link w:val="Answer"/>
    <w:locked/>
    <w:rsid w:val="00A664BD"/>
    <w:rPr>
      <w:sz w:val="24"/>
    </w:rPr>
  </w:style>
  <w:style w:type="paragraph" w:customStyle="1" w:styleId="Answer">
    <w:name w:val="Answer"/>
    <w:basedOn w:val="Normal"/>
    <w:link w:val="AnswerChar"/>
    <w:qFormat/>
    <w:rsid w:val="00A664BD"/>
    <w:pPr>
      <w:widowControl/>
      <w:tabs>
        <w:tab w:val="left" w:pos="720"/>
      </w:tabs>
      <w:autoSpaceDE/>
      <w:autoSpaceDN/>
      <w:adjustRightInd/>
      <w:spacing w:line="480" w:lineRule="auto"/>
      <w:ind w:left="720" w:hanging="720"/>
    </w:pPr>
    <w:rPr>
      <w:szCs w:val="20"/>
    </w:rPr>
  </w:style>
  <w:style w:type="character" w:styleId="LineNumber">
    <w:name w:val="line number"/>
    <w:rsid w:val="00A664BD"/>
  </w:style>
  <w:style w:type="character" w:customStyle="1" w:styleId="AnswerBodyChar1">
    <w:name w:val="Answer Body Char1"/>
    <w:link w:val="AnswerBody"/>
    <w:locked/>
    <w:rsid w:val="00AE1968"/>
    <w:rPr>
      <w:rFonts w:ascii="Arial" w:hAnsi="Arial" w:cs="Arial"/>
      <w:sz w:val="24"/>
      <w:szCs w:val="24"/>
    </w:rPr>
  </w:style>
  <w:style w:type="paragraph" w:customStyle="1" w:styleId="AnswerBody">
    <w:name w:val="Answer Body"/>
    <w:basedOn w:val="Normal"/>
    <w:link w:val="AnswerBodyChar1"/>
    <w:rsid w:val="00AE1968"/>
    <w:pPr>
      <w:widowControl/>
      <w:tabs>
        <w:tab w:val="left" w:pos="720"/>
      </w:tabs>
      <w:autoSpaceDE/>
      <w:autoSpaceDN/>
      <w:adjustRightInd/>
      <w:spacing w:line="480" w:lineRule="auto"/>
      <w:ind w:left="720"/>
    </w:pPr>
    <w:rPr>
      <w:rFonts w:ascii="Arial" w:hAnsi="Arial" w:cs="Arial"/>
    </w:rPr>
  </w:style>
  <w:style w:type="character" w:customStyle="1" w:styleId="BalloonTextChar">
    <w:name w:val="Balloon Text Char"/>
    <w:link w:val="BalloonText"/>
    <w:uiPriority w:val="99"/>
    <w:semiHidden/>
    <w:rsid w:val="00D800A0"/>
    <w:rPr>
      <w:rFonts w:ascii="Tahoma" w:hAnsi="Tahoma" w:cs="Tahoma"/>
      <w:sz w:val="16"/>
      <w:szCs w:val="16"/>
    </w:rPr>
  </w:style>
  <w:style w:type="paragraph" w:customStyle="1" w:styleId="Default">
    <w:name w:val="Default"/>
    <w:rsid w:val="001F3E43"/>
    <w:pPr>
      <w:autoSpaceDE w:val="0"/>
      <w:autoSpaceDN w:val="0"/>
      <w:adjustRightInd w:val="0"/>
    </w:pPr>
    <w:rPr>
      <w:rFonts w:ascii="Arial" w:hAnsi="Arial" w:cs="Arial"/>
      <w:color w:val="000000"/>
      <w:sz w:val="24"/>
      <w:szCs w:val="24"/>
    </w:rPr>
  </w:style>
  <w:style w:type="character" w:customStyle="1" w:styleId="Heading6Char">
    <w:name w:val="Heading 6 Char"/>
    <w:link w:val="Heading6"/>
    <w:uiPriority w:val="10"/>
    <w:rsid w:val="000F1EAC"/>
    <w:rPr>
      <w:sz w:val="24"/>
      <w:szCs w:val="24"/>
    </w:rPr>
  </w:style>
  <w:style w:type="character" w:customStyle="1" w:styleId="Heading7Char">
    <w:name w:val="Heading 7 Char"/>
    <w:link w:val="Heading7"/>
    <w:uiPriority w:val="10"/>
    <w:rsid w:val="000F1EAC"/>
    <w:rPr>
      <w:sz w:val="24"/>
      <w:szCs w:val="24"/>
    </w:rPr>
  </w:style>
  <w:style w:type="character" w:customStyle="1" w:styleId="Heading9Char">
    <w:name w:val="Heading 9 Char"/>
    <w:link w:val="Heading9"/>
    <w:uiPriority w:val="10"/>
    <w:rsid w:val="000F1EAC"/>
    <w:rPr>
      <w:sz w:val="24"/>
      <w:szCs w:val="24"/>
    </w:rPr>
  </w:style>
  <w:style w:type="character" w:customStyle="1" w:styleId="Heading3Char">
    <w:name w:val="Heading 3 Char"/>
    <w:link w:val="Heading3"/>
    <w:uiPriority w:val="9"/>
    <w:rsid w:val="000F5BDC"/>
    <w:rPr>
      <w:rFonts w:cs="Arial"/>
      <w:b/>
      <w:bCs/>
      <w:sz w:val="24"/>
      <w:szCs w:val="26"/>
    </w:rPr>
  </w:style>
  <w:style w:type="character" w:customStyle="1" w:styleId="Heading5Char">
    <w:name w:val="Heading 5 Char"/>
    <w:link w:val="Heading5"/>
    <w:uiPriority w:val="10"/>
    <w:rsid w:val="000F1EAC"/>
    <w:rPr>
      <w:b/>
      <w:bCs/>
      <w:iCs/>
      <w:sz w:val="24"/>
      <w:szCs w:val="26"/>
    </w:rPr>
  </w:style>
  <w:style w:type="character" w:customStyle="1" w:styleId="Heading2Char">
    <w:name w:val="Heading 2 Char"/>
    <w:link w:val="Heading2"/>
    <w:uiPriority w:val="9"/>
    <w:rsid w:val="00690297"/>
    <w:rPr>
      <w:rFonts w:cs="Arial"/>
      <w:b/>
      <w:bCs/>
      <w:iCs/>
      <w:sz w:val="24"/>
      <w:szCs w:val="28"/>
    </w:rPr>
  </w:style>
  <w:style w:type="paragraph" w:customStyle="1" w:styleId="Table">
    <w:name w:val="Table"/>
    <w:basedOn w:val="Normal"/>
    <w:qFormat/>
    <w:rsid w:val="000F1EAC"/>
    <w:pPr>
      <w:widowControl/>
      <w:autoSpaceDE/>
      <w:autoSpaceDN/>
      <w:adjustRightInd/>
      <w:spacing w:line="276" w:lineRule="auto"/>
      <w:jc w:val="center"/>
      <w:outlineLvl w:val="1"/>
    </w:pPr>
    <w:rPr>
      <w:rFonts w:cs="Arial"/>
      <w:bCs/>
      <w:iCs/>
      <w:szCs w:val="20"/>
    </w:rPr>
  </w:style>
  <w:style w:type="paragraph" w:customStyle="1" w:styleId="BodyText1SS">
    <w:name w:val="Body Text 1&quot; SS"/>
    <w:aliases w:val="BT 1 SS"/>
    <w:basedOn w:val="Normal"/>
    <w:autoRedefine/>
    <w:uiPriority w:val="6"/>
    <w:qFormat/>
    <w:rsid w:val="000005CA"/>
    <w:pPr>
      <w:widowControl/>
      <w:autoSpaceDE/>
      <w:autoSpaceDN/>
      <w:adjustRightInd/>
      <w:spacing w:after="240"/>
      <w:ind w:left="2160" w:right="720" w:hanging="720"/>
    </w:pPr>
  </w:style>
  <w:style w:type="paragraph" w:styleId="BodyTextIndent2">
    <w:name w:val="Body Text Indent 2"/>
    <w:basedOn w:val="Normal"/>
    <w:link w:val="BodyTextIndent2Char"/>
    <w:rsid w:val="0028264F"/>
    <w:pPr>
      <w:spacing w:after="120" w:line="480" w:lineRule="auto"/>
      <w:ind w:left="360"/>
    </w:pPr>
  </w:style>
  <w:style w:type="character" w:customStyle="1" w:styleId="BodyTextIndent2Char">
    <w:name w:val="Body Text Indent 2 Char"/>
    <w:link w:val="BodyTextIndent2"/>
    <w:rsid w:val="0028264F"/>
    <w:rPr>
      <w:sz w:val="24"/>
      <w:szCs w:val="24"/>
    </w:rPr>
  </w:style>
  <w:style w:type="paragraph" w:customStyle="1" w:styleId="TestimonyAnswer">
    <w:name w:val="Testimony Answer"/>
    <w:basedOn w:val="Normal"/>
    <w:qFormat/>
    <w:rsid w:val="00AB6EF0"/>
    <w:pPr>
      <w:widowControl/>
      <w:tabs>
        <w:tab w:val="left" w:pos="720"/>
        <w:tab w:val="right" w:leader="dot" w:pos="8640"/>
        <w:tab w:val="left" w:pos="9240"/>
      </w:tabs>
      <w:autoSpaceDE/>
      <w:autoSpaceDN/>
      <w:adjustRightInd/>
      <w:spacing w:after="240"/>
      <w:ind w:left="720" w:hanging="720"/>
    </w:pPr>
  </w:style>
  <w:style w:type="paragraph" w:customStyle="1" w:styleId="Quote5">
    <w:name w:val="Quote .5&quot;"/>
    <w:basedOn w:val="Normal"/>
    <w:rsid w:val="00902A91"/>
    <w:pPr>
      <w:widowControl/>
      <w:autoSpaceDE/>
      <w:autoSpaceDN/>
      <w:adjustRightInd/>
      <w:spacing w:after="240"/>
      <w:ind w:left="720" w:right="720"/>
    </w:pPr>
  </w:style>
  <w:style w:type="numbering" w:styleId="111111">
    <w:name w:val="Outline List 2"/>
    <w:basedOn w:val="NoList"/>
    <w:uiPriority w:val="99"/>
    <w:unhideWhenUsed/>
    <w:rsid w:val="004A2732"/>
    <w:pPr>
      <w:numPr>
        <w:numId w:val="24"/>
      </w:numPr>
    </w:pPr>
  </w:style>
  <w:style w:type="paragraph" w:customStyle="1" w:styleId="StyleListParagraphJustifiedAfter6ptLinespacing15">
    <w:name w:val="Style List Paragraph + Justified After:  6 pt Line spacing:  1.5 ..."/>
    <w:basedOn w:val="ListParagraph"/>
    <w:rsid w:val="004A2732"/>
    <w:pPr>
      <w:spacing w:after="120"/>
      <w:contextualSpacing/>
    </w:pPr>
    <w:rPr>
      <w:szCs w:val="20"/>
    </w:rPr>
  </w:style>
  <w:style w:type="paragraph" w:customStyle="1" w:styleId="blockquotefn">
    <w:name w:val="blockquote.fn"/>
    <w:basedOn w:val="Normal"/>
    <w:link w:val="blockquotefnChar"/>
    <w:qFormat/>
    <w:rsid w:val="00294833"/>
    <w:pPr>
      <w:widowControl/>
      <w:autoSpaceDE/>
      <w:autoSpaceDN/>
      <w:adjustRightInd/>
      <w:spacing w:after="360"/>
      <w:ind w:left="720" w:right="720"/>
    </w:pPr>
    <w:rPr>
      <w:szCs w:val="20"/>
    </w:rPr>
  </w:style>
  <w:style w:type="character" w:customStyle="1" w:styleId="blockquotefnChar">
    <w:name w:val="blockquote.fn Char"/>
    <w:link w:val="blockquotefn"/>
    <w:rsid w:val="00294833"/>
    <w:rPr>
      <w:sz w:val="24"/>
    </w:rPr>
  </w:style>
  <w:style w:type="paragraph" w:styleId="NoSpacing">
    <w:name w:val="No Spacing"/>
    <w:uiPriority w:val="1"/>
    <w:qFormat/>
    <w:rsid w:val="006E1661"/>
    <w:rPr>
      <w:rFonts w:ascii="Calibri" w:eastAsia="Calibri" w:hAnsi="Calibri"/>
      <w:sz w:val="22"/>
      <w:szCs w:val="22"/>
    </w:rPr>
  </w:style>
  <w:style w:type="paragraph" w:customStyle="1" w:styleId="FOFNumbered">
    <w:name w:val="FOF Numbered"/>
    <w:basedOn w:val="Normal"/>
    <w:link w:val="FOFNumberedChar"/>
    <w:rsid w:val="00BF4262"/>
    <w:pPr>
      <w:widowControl/>
      <w:numPr>
        <w:numId w:val="26"/>
      </w:numPr>
      <w:tabs>
        <w:tab w:val="clear" w:pos="1080"/>
        <w:tab w:val="num" w:pos="720"/>
      </w:tabs>
      <w:autoSpaceDE/>
      <w:autoSpaceDN/>
      <w:adjustRightInd/>
      <w:spacing w:before="120"/>
      <w:ind w:left="720"/>
    </w:pPr>
    <w:rPr>
      <w:snapToGrid w:val="0"/>
      <w:szCs w:val="20"/>
    </w:rPr>
  </w:style>
  <w:style w:type="character" w:customStyle="1" w:styleId="FOFNumberedChar">
    <w:name w:val="FOF Numbered Char"/>
    <w:link w:val="FOFNumbered"/>
    <w:rsid w:val="00BF4262"/>
    <w:rPr>
      <w:snapToGrid w:val="0"/>
      <w:sz w:val="24"/>
    </w:rPr>
  </w:style>
  <w:style w:type="paragraph" w:customStyle="1" w:styleId="Style12ptJustifiedLeft0Hanging05LinespacingD">
    <w:name w:val="Style 12 pt Justified Left:  0&quot; Hanging:  0.5&quot; Line spacing:  D..."/>
    <w:basedOn w:val="Normal"/>
    <w:rsid w:val="00294833"/>
    <w:pPr>
      <w:widowControl/>
      <w:overflowPunct w:val="0"/>
      <w:spacing w:line="480" w:lineRule="auto"/>
      <w:ind w:left="720" w:hanging="720"/>
      <w:textAlignment w:val="baseline"/>
    </w:pPr>
    <w:rPr>
      <w:szCs w:val="20"/>
    </w:rPr>
  </w:style>
  <w:style w:type="character" w:styleId="Emphasis">
    <w:name w:val="Emphasis"/>
    <w:uiPriority w:val="2"/>
    <w:qFormat/>
    <w:rsid w:val="00493962"/>
    <w:rPr>
      <w:rFonts w:ascii="Times New Roman" w:eastAsia="Times New Roman" w:hAnsi="Times New Roman" w:cs="Times New Roman"/>
      <w:i/>
    </w:rPr>
  </w:style>
  <w:style w:type="paragraph" w:customStyle="1" w:styleId="Blockquote">
    <w:name w:val="Blockquote"/>
    <w:basedOn w:val="Normal"/>
    <w:link w:val="BlockquoteChar"/>
    <w:autoRedefine/>
    <w:qFormat/>
    <w:rsid w:val="009D1469"/>
    <w:pPr>
      <w:widowControl/>
      <w:autoSpaceDE/>
      <w:autoSpaceDN/>
      <w:adjustRightInd/>
      <w:spacing w:before="240"/>
      <w:ind w:left="720" w:right="720"/>
    </w:pPr>
    <w:rPr>
      <w:szCs w:val="20"/>
    </w:rPr>
  </w:style>
  <w:style w:type="character" w:customStyle="1" w:styleId="BlockquoteChar">
    <w:name w:val="Blockquote Char"/>
    <w:link w:val="Blockquote"/>
    <w:rsid w:val="009D1469"/>
    <w:rPr>
      <w:sz w:val="24"/>
    </w:rPr>
  </w:style>
  <w:style w:type="character" w:customStyle="1" w:styleId="ListParagraphChar">
    <w:name w:val="List Paragraph Char"/>
    <w:link w:val="ListParagraph"/>
    <w:uiPriority w:val="34"/>
    <w:rsid w:val="00441675"/>
    <w:rPr>
      <w:sz w:val="24"/>
      <w:szCs w:val="24"/>
    </w:rPr>
  </w:style>
  <w:style w:type="character" w:customStyle="1" w:styleId="FootnoteChar">
    <w:name w:val="Footnote Char"/>
    <w:link w:val="Footnote"/>
    <w:uiPriority w:val="99"/>
    <w:locked/>
    <w:rsid w:val="00000440"/>
  </w:style>
  <w:style w:type="paragraph" w:styleId="BodyTextIndent">
    <w:name w:val="Body Text Indent"/>
    <w:basedOn w:val="Normal"/>
    <w:link w:val="BodyTextIndentChar"/>
    <w:rsid w:val="005B5BA9"/>
    <w:pPr>
      <w:spacing w:after="120"/>
      <w:ind w:left="360"/>
    </w:pPr>
  </w:style>
  <w:style w:type="character" w:customStyle="1" w:styleId="BodyTextIndentChar">
    <w:name w:val="Body Text Indent Char"/>
    <w:link w:val="BodyTextIndent"/>
    <w:rsid w:val="005B5BA9"/>
    <w:rPr>
      <w:sz w:val="24"/>
      <w:szCs w:val="24"/>
    </w:rPr>
  </w:style>
  <w:style w:type="paragraph" w:customStyle="1" w:styleId="PL">
    <w:name w:val="PL"/>
    <w:aliases w:val="BR,MT"/>
    <w:rsid w:val="0017694A"/>
    <w:pPr>
      <w:spacing w:line="480" w:lineRule="exact"/>
      <w:ind w:firstLine="720"/>
      <w:jc w:val="both"/>
    </w:pPr>
    <w:rPr>
      <w:sz w:val="24"/>
    </w:rPr>
  </w:style>
  <w:style w:type="paragraph" w:styleId="Bibliography">
    <w:name w:val="Bibliography"/>
    <w:basedOn w:val="Normal"/>
    <w:next w:val="Normal"/>
    <w:uiPriority w:val="37"/>
    <w:unhideWhenUsed/>
    <w:rsid w:val="009841E2"/>
  </w:style>
  <w:style w:type="character" w:customStyle="1" w:styleId="apple-converted-space">
    <w:name w:val="apple-converted-space"/>
    <w:basedOn w:val="DefaultParagraphFont"/>
    <w:rsid w:val="003D2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703">
      <w:bodyDiv w:val="1"/>
      <w:marLeft w:val="0"/>
      <w:marRight w:val="0"/>
      <w:marTop w:val="0"/>
      <w:marBottom w:val="0"/>
      <w:divBdr>
        <w:top w:val="none" w:sz="0" w:space="0" w:color="auto"/>
        <w:left w:val="none" w:sz="0" w:space="0" w:color="auto"/>
        <w:bottom w:val="none" w:sz="0" w:space="0" w:color="auto"/>
        <w:right w:val="none" w:sz="0" w:space="0" w:color="auto"/>
      </w:divBdr>
    </w:div>
    <w:div w:id="80688461">
      <w:bodyDiv w:val="1"/>
      <w:marLeft w:val="0"/>
      <w:marRight w:val="0"/>
      <w:marTop w:val="0"/>
      <w:marBottom w:val="0"/>
      <w:divBdr>
        <w:top w:val="none" w:sz="0" w:space="0" w:color="auto"/>
        <w:left w:val="none" w:sz="0" w:space="0" w:color="auto"/>
        <w:bottom w:val="none" w:sz="0" w:space="0" w:color="auto"/>
        <w:right w:val="none" w:sz="0" w:space="0" w:color="auto"/>
      </w:divBdr>
    </w:div>
    <w:div w:id="89862292">
      <w:bodyDiv w:val="1"/>
      <w:marLeft w:val="0"/>
      <w:marRight w:val="0"/>
      <w:marTop w:val="0"/>
      <w:marBottom w:val="0"/>
      <w:divBdr>
        <w:top w:val="none" w:sz="0" w:space="0" w:color="auto"/>
        <w:left w:val="none" w:sz="0" w:space="0" w:color="auto"/>
        <w:bottom w:val="none" w:sz="0" w:space="0" w:color="auto"/>
        <w:right w:val="none" w:sz="0" w:space="0" w:color="auto"/>
      </w:divBdr>
    </w:div>
    <w:div w:id="106699603">
      <w:bodyDiv w:val="1"/>
      <w:marLeft w:val="0"/>
      <w:marRight w:val="0"/>
      <w:marTop w:val="0"/>
      <w:marBottom w:val="0"/>
      <w:divBdr>
        <w:top w:val="none" w:sz="0" w:space="0" w:color="auto"/>
        <w:left w:val="none" w:sz="0" w:space="0" w:color="auto"/>
        <w:bottom w:val="none" w:sz="0" w:space="0" w:color="auto"/>
        <w:right w:val="none" w:sz="0" w:space="0" w:color="auto"/>
      </w:divBdr>
    </w:div>
    <w:div w:id="122578449">
      <w:bodyDiv w:val="1"/>
      <w:marLeft w:val="0"/>
      <w:marRight w:val="0"/>
      <w:marTop w:val="0"/>
      <w:marBottom w:val="0"/>
      <w:divBdr>
        <w:top w:val="none" w:sz="0" w:space="0" w:color="auto"/>
        <w:left w:val="none" w:sz="0" w:space="0" w:color="auto"/>
        <w:bottom w:val="none" w:sz="0" w:space="0" w:color="auto"/>
        <w:right w:val="none" w:sz="0" w:space="0" w:color="auto"/>
      </w:divBdr>
    </w:div>
    <w:div w:id="140080575">
      <w:bodyDiv w:val="1"/>
      <w:marLeft w:val="0"/>
      <w:marRight w:val="0"/>
      <w:marTop w:val="0"/>
      <w:marBottom w:val="0"/>
      <w:divBdr>
        <w:top w:val="none" w:sz="0" w:space="0" w:color="auto"/>
        <w:left w:val="none" w:sz="0" w:space="0" w:color="auto"/>
        <w:bottom w:val="none" w:sz="0" w:space="0" w:color="auto"/>
        <w:right w:val="none" w:sz="0" w:space="0" w:color="auto"/>
      </w:divBdr>
    </w:div>
    <w:div w:id="157842360">
      <w:bodyDiv w:val="1"/>
      <w:marLeft w:val="0"/>
      <w:marRight w:val="0"/>
      <w:marTop w:val="0"/>
      <w:marBottom w:val="0"/>
      <w:divBdr>
        <w:top w:val="none" w:sz="0" w:space="0" w:color="auto"/>
        <w:left w:val="none" w:sz="0" w:space="0" w:color="auto"/>
        <w:bottom w:val="none" w:sz="0" w:space="0" w:color="auto"/>
        <w:right w:val="none" w:sz="0" w:space="0" w:color="auto"/>
      </w:divBdr>
    </w:div>
    <w:div w:id="172427609">
      <w:bodyDiv w:val="1"/>
      <w:marLeft w:val="0"/>
      <w:marRight w:val="0"/>
      <w:marTop w:val="0"/>
      <w:marBottom w:val="0"/>
      <w:divBdr>
        <w:top w:val="none" w:sz="0" w:space="0" w:color="auto"/>
        <w:left w:val="none" w:sz="0" w:space="0" w:color="auto"/>
        <w:bottom w:val="none" w:sz="0" w:space="0" w:color="auto"/>
        <w:right w:val="none" w:sz="0" w:space="0" w:color="auto"/>
      </w:divBdr>
    </w:div>
    <w:div w:id="201015057">
      <w:bodyDiv w:val="1"/>
      <w:marLeft w:val="0"/>
      <w:marRight w:val="0"/>
      <w:marTop w:val="0"/>
      <w:marBottom w:val="0"/>
      <w:divBdr>
        <w:top w:val="none" w:sz="0" w:space="0" w:color="auto"/>
        <w:left w:val="none" w:sz="0" w:space="0" w:color="auto"/>
        <w:bottom w:val="none" w:sz="0" w:space="0" w:color="auto"/>
        <w:right w:val="none" w:sz="0" w:space="0" w:color="auto"/>
      </w:divBdr>
    </w:div>
    <w:div w:id="236598025">
      <w:bodyDiv w:val="1"/>
      <w:marLeft w:val="0"/>
      <w:marRight w:val="0"/>
      <w:marTop w:val="0"/>
      <w:marBottom w:val="0"/>
      <w:divBdr>
        <w:top w:val="none" w:sz="0" w:space="0" w:color="auto"/>
        <w:left w:val="none" w:sz="0" w:space="0" w:color="auto"/>
        <w:bottom w:val="none" w:sz="0" w:space="0" w:color="auto"/>
        <w:right w:val="none" w:sz="0" w:space="0" w:color="auto"/>
      </w:divBdr>
    </w:div>
    <w:div w:id="239945523">
      <w:bodyDiv w:val="1"/>
      <w:marLeft w:val="0"/>
      <w:marRight w:val="0"/>
      <w:marTop w:val="0"/>
      <w:marBottom w:val="0"/>
      <w:divBdr>
        <w:top w:val="none" w:sz="0" w:space="0" w:color="auto"/>
        <w:left w:val="none" w:sz="0" w:space="0" w:color="auto"/>
        <w:bottom w:val="none" w:sz="0" w:space="0" w:color="auto"/>
        <w:right w:val="none" w:sz="0" w:space="0" w:color="auto"/>
      </w:divBdr>
    </w:div>
    <w:div w:id="247470946">
      <w:bodyDiv w:val="1"/>
      <w:marLeft w:val="0"/>
      <w:marRight w:val="0"/>
      <w:marTop w:val="0"/>
      <w:marBottom w:val="0"/>
      <w:divBdr>
        <w:top w:val="none" w:sz="0" w:space="0" w:color="auto"/>
        <w:left w:val="none" w:sz="0" w:space="0" w:color="auto"/>
        <w:bottom w:val="none" w:sz="0" w:space="0" w:color="auto"/>
        <w:right w:val="none" w:sz="0" w:space="0" w:color="auto"/>
      </w:divBdr>
    </w:div>
    <w:div w:id="275019656">
      <w:bodyDiv w:val="1"/>
      <w:marLeft w:val="0"/>
      <w:marRight w:val="0"/>
      <w:marTop w:val="0"/>
      <w:marBottom w:val="0"/>
      <w:divBdr>
        <w:top w:val="none" w:sz="0" w:space="0" w:color="auto"/>
        <w:left w:val="none" w:sz="0" w:space="0" w:color="auto"/>
        <w:bottom w:val="none" w:sz="0" w:space="0" w:color="auto"/>
        <w:right w:val="none" w:sz="0" w:space="0" w:color="auto"/>
      </w:divBdr>
    </w:div>
    <w:div w:id="287901447">
      <w:bodyDiv w:val="1"/>
      <w:marLeft w:val="0"/>
      <w:marRight w:val="0"/>
      <w:marTop w:val="0"/>
      <w:marBottom w:val="0"/>
      <w:divBdr>
        <w:top w:val="none" w:sz="0" w:space="0" w:color="auto"/>
        <w:left w:val="none" w:sz="0" w:space="0" w:color="auto"/>
        <w:bottom w:val="none" w:sz="0" w:space="0" w:color="auto"/>
        <w:right w:val="none" w:sz="0" w:space="0" w:color="auto"/>
      </w:divBdr>
    </w:div>
    <w:div w:id="297805956">
      <w:bodyDiv w:val="1"/>
      <w:marLeft w:val="0"/>
      <w:marRight w:val="0"/>
      <w:marTop w:val="0"/>
      <w:marBottom w:val="0"/>
      <w:divBdr>
        <w:top w:val="none" w:sz="0" w:space="0" w:color="auto"/>
        <w:left w:val="none" w:sz="0" w:space="0" w:color="auto"/>
        <w:bottom w:val="none" w:sz="0" w:space="0" w:color="auto"/>
        <w:right w:val="none" w:sz="0" w:space="0" w:color="auto"/>
      </w:divBdr>
    </w:div>
    <w:div w:id="303782923">
      <w:bodyDiv w:val="1"/>
      <w:marLeft w:val="0"/>
      <w:marRight w:val="0"/>
      <w:marTop w:val="0"/>
      <w:marBottom w:val="0"/>
      <w:divBdr>
        <w:top w:val="none" w:sz="0" w:space="0" w:color="auto"/>
        <w:left w:val="none" w:sz="0" w:space="0" w:color="auto"/>
        <w:bottom w:val="none" w:sz="0" w:space="0" w:color="auto"/>
        <w:right w:val="none" w:sz="0" w:space="0" w:color="auto"/>
      </w:divBdr>
    </w:div>
    <w:div w:id="358090431">
      <w:bodyDiv w:val="1"/>
      <w:marLeft w:val="0"/>
      <w:marRight w:val="0"/>
      <w:marTop w:val="0"/>
      <w:marBottom w:val="0"/>
      <w:divBdr>
        <w:top w:val="none" w:sz="0" w:space="0" w:color="auto"/>
        <w:left w:val="none" w:sz="0" w:space="0" w:color="auto"/>
        <w:bottom w:val="none" w:sz="0" w:space="0" w:color="auto"/>
        <w:right w:val="none" w:sz="0" w:space="0" w:color="auto"/>
      </w:divBdr>
    </w:div>
    <w:div w:id="430203928">
      <w:bodyDiv w:val="1"/>
      <w:marLeft w:val="0"/>
      <w:marRight w:val="0"/>
      <w:marTop w:val="0"/>
      <w:marBottom w:val="0"/>
      <w:divBdr>
        <w:top w:val="none" w:sz="0" w:space="0" w:color="auto"/>
        <w:left w:val="none" w:sz="0" w:space="0" w:color="auto"/>
        <w:bottom w:val="none" w:sz="0" w:space="0" w:color="auto"/>
        <w:right w:val="none" w:sz="0" w:space="0" w:color="auto"/>
      </w:divBdr>
    </w:div>
    <w:div w:id="437944166">
      <w:bodyDiv w:val="1"/>
      <w:marLeft w:val="0"/>
      <w:marRight w:val="0"/>
      <w:marTop w:val="0"/>
      <w:marBottom w:val="0"/>
      <w:divBdr>
        <w:top w:val="none" w:sz="0" w:space="0" w:color="auto"/>
        <w:left w:val="none" w:sz="0" w:space="0" w:color="auto"/>
        <w:bottom w:val="none" w:sz="0" w:space="0" w:color="auto"/>
        <w:right w:val="none" w:sz="0" w:space="0" w:color="auto"/>
      </w:divBdr>
    </w:div>
    <w:div w:id="462313381">
      <w:bodyDiv w:val="1"/>
      <w:marLeft w:val="0"/>
      <w:marRight w:val="0"/>
      <w:marTop w:val="0"/>
      <w:marBottom w:val="0"/>
      <w:divBdr>
        <w:top w:val="none" w:sz="0" w:space="0" w:color="auto"/>
        <w:left w:val="none" w:sz="0" w:space="0" w:color="auto"/>
        <w:bottom w:val="none" w:sz="0" w:space="0" w:color="auto"/>
        <w:right w:val="none" w:sz="0" w:space="0" w:color="auto"/>
      </w:divBdr>
    </w:div>
    <w:div w:id="468521921">
      <w:bodyDiv w:val="1"/>
      <w:marLeft w:val="0"/>
      <w:marRight w:val="0"/>
      <w:marTop w:val="0"/>
      <w:marBottom w:val="0"/>
      <w:divBdr>
        <w:top w:val="none" w:sz="0" w:space="0" w:color="auto"/>
        <w:left w:val="none" w:sz="0" w:space="0" w:color="auto"/>
        <w:bottom w:val="none" w:sz="0" w:space="0" w:color="auto"/>
        <w:right w:val="none" w:sz="0" w:space="0" w:color="auto"/>
      </w:divBdr>
    </w:div>
    <w:div w:id="481116988">
      <w:bodyDiv w:val="1"/>
      <w:marLeft w:val="0"/>
      <w:marRight w:val="0"/>
      <w:marTop w:val="0"/>
      <w:marBottom w:val="0"/>
      <w:divBdr>
        <w:top w:val="none" w:sz="0" w:space="0" w:color="auto"/>
        <w:left w:val="none" w:sz="0" w:space="0" w:color="auto"/>
        <w:bottom w:val="none" w:sz="0" w:space="0" w:color="auto"/>
        <w:right w:val="none" w:sz="0" w:space="0" w:color="auto"/>
      </w:divBdr>
    </w:div>
    <w:div w:id="486480354">
      <w:bodyDiv w:val="1"/>
      <w:marLeft w:val="0"/>
      <w:marRight w:val="0"/>
      <w:marTop w:val="0"/>
      <w:marBottom w:val="0"/>
      <w:divBdr>
        <w:top w:val="none" w:sz="0" w:space="0" w:color="auto"/>
        <w:left w:val="none" w:sz="0" w:space="0" w:color="auto"/>
        <w:bottom w:val="none" w:sz="0" w:space="0" w:color="auto"/>
        <w:right w:val="none" w:sz="0" w:space="0" w:color="auto"/>
      </w:divBdr>
    </w:div>
    <w:div w:id="498350834">
      <w:bodyDiv w:val="1"/>
      <w:marLeft w:val="0"/>
      <w:marRight w:val="0"/>
      <w:marTop w:val="0"/>
      <w:marBottom w:val="0"/>
      <w:divBdr>
        <w:top w:val="none" w:sz="0" w:space="0" w:color="auto"/>
        <w:left w:val="none" w:sz="0" w:space="0" w:color="auto"/>
        <w:bottom w:val="none" w:sz="0" w:space="0" w:color="auto"/>
        <w:right w:val="none" w:sz="0" w:space="0" w:color="auto"/>
      </w:divBdr>
    </w:div>
    <w:div w:id="558899127">
      <w:bodyDiv w:val="1"/>
      <w:marLeft w:val="0"/>
      <w:marRight w:val="0"/>
      <w:marTop w:val="0"/>
      <w:marBottom w:val="0"/>
      <w:divBdr>
        <w:top w:val="none" w:sz="0" w:space="0" w:color="auto"/>
        <w:left w:val="none" w:sz="0" w:space="0" w:color="auto"/>
        <w:bottom w:val="none" w:sz="0" w:space="0" w:color="auto"/>
        <w:right w:val="none" w:sz="0" w:space="0" w:color="auto"/>
      </w:divBdr>
    </w:div>
    <w:div w:id="585266488">
      <w:bodyDiv w:val="1"/>
      <w:marLeft w:val="0"/>
      <w:marRight w:val="0"/>
      <w:marTop w:val="0"/>
      <w:marBottom w:val="0"/>
      <w:divBdr>
        <w:top w:val="none" w:sz="0" w:space="0" w:color="auto"/>
        <w:left w:val="none" w:sz="0" w:space="0" w:color="auto"/>
        <w:bottom w:val="none" w:sz="0" w:space="0" w:color="auto"/>
        <w:right w:val="none" w:sz="0" w:space="0" w:color="auto"/>
      </w:divBdr>
    </w:div>
    <w:div w:id="593827908">
      <w:bodyDiv w:val="1"/>
      <w:marLeft w:val="0"/>
      <w:marRight w:val="0"/>
      <w:marTop w:val="0"/>
      <w:marBottom w:val="0"/>
      <w:divBdr>
        <w:top w:val="none" w:sz="0" w:space="0" w:color="auto"/>
        <w:left w:val="none" w:sz="0" w:space="0" w:color="auto"/>
        <w:bottom w:val="none" w:sz="0" w:space="0" w:color="auto"/>
        <w:right w:val="none" w:sz="0" w:space="0" w:color="auto"/>
      </w:divBdr>
    </w:div>
    <w:div w:id="604923683">
      <w:bodyDiv w:val="1"/>
      <w:marLeft w:val="0"/>
      <w:marRight w:val="0"/>
      <w:marTop w:val="0"/>
      <w:marBottom w:val="0"/>
      <w:divBdr>
        <w:top w:val="none" w:sz="0" w:space="0" w:color="auto"/>
        <w:left w:val="none" w:sz="0" w:space="0" w:color="auto"/>
        <w:bottom w:val="none" w:sz="0" w:space="0" w:color="auto"/>
        <w:right w:val="none" w:sz="0" w:space="0" w:color="auto"/>
      </w:divBdr>
    </w:div>
    <w:div w:id="606038304">
      <w:bodyDiv w:val="1"/>
      <w:marLeft w:val="0"/>
      <w:marRight w:val="0"/>
      <w:marTop w:val="0"/>
      <w:marBottom w:val="0"/>
      <w:divBdr>
        <w:top w:val="none" w:sz="0" w:space="0" w:color="auto"/>
        <w:left w:val="none" w:sz="0" w:space="0" w:color="auto"/>
        <w:bottom w:val="none" w:sz="0" w:space="0" w:color="auto"/>
        <w:right w:val="none" w:sz="0" w:space="0" w:color="auto"/>
      </w:divBdr>
    </w:div>
    <w:div w:id="606698871">
      <w:bodyDiv w:val="1"/>
      <w:marLeft w:val="0"/>
      <w:marRight w:val="0"/>
      <w:marTop w:val="0"/>
      <w:marBottom w:val="0"/>
      <w:divBdr>
        <w:top w:val="none" w:sz="0" w:space="0" w:color="auto"/>
        <w:left w:val="none" w:sz="0" w:space="0" w:color="auto"/>
        <w:bottom w:val="none" w:sz="0" w:space="0" w:color="auto"/>
        <w:right w:val="none" w:sz="0" w:space="0" w:color="auto"/>
      </w:divBdr>
    </w:div>
    <w:div w:id="635918421">
      <w:bodyDiv w:val="1"/>
      <w:marLeft w:val="0"/>
      <w:marRight w:val="0"/>
      <w:marTop w:val="0"/>
      <w:marBottom w:val="0"/>
      <w:divBdr>
        <w:top w:val="none" w:sz="0" w:space="0" w:color="auto"/>
        <w:left w:val="none" w:sz="0" w:space="0" w:color="auto"/>
        <w:bottom w:val="none" w:sz="0" w:space="0" w:color="auto"/>
        <w:right w:val="none" w:sz="0" w:space="0" w:color="auto"/>
      </w:divBdr>
    </w:div>
    <w:div w:id="642856160">
      <w:bodyDiv w:val="1"/>
      <w:marLeft w:val="0"/>
      <w:marRight w:val="0"/>
      <w:marTop w:val="0"/>
      <w:marBottom w:val="0"/>
      <w:divBdr>
        <w:top w:val="none" w:sz="0" w:space="0" w:color="auto"/>
        <w:left w:val="none" w:sz="0" w:space="0" w:color="auto"/>
        <w:bottom w:val="none" w:sz="0" w:space="0" w:color="auto"/>
        <w:right w:val="none" w:sz="0" w:space="0" w:color="auto"/>
      </w:divBdr>
    </w:div>
    <w:div w:id="648021510">
      <w:bodyDiv w:val="1"/>
      <w:marLeft w:val="0"/>
      <w:marRight w:val="0"/>
      <w:marTop w:val="0"/>
      <w:marBottom w:val="0"/>
      <w:divBdr>
        <w:top w:val="none" w:sz="0" w:space="0" w:color="auto"/>
        <w:left w:val="none" w:sz="0" w:space="0" w:color="auto"/>
        <w:bottom w:val="none" w:sz="0" w:space="0" w:color="auto"/>
        <w:right w:val="none" w:sz="0" w:space="0" w:color="auto"/>
      </w:divBdr>
    </w:div>
    <w:div w:id="649023374">
      <w:bodyDiv w:val="1"/>
      <w:marLeft w:val="0"/>
      <w:marRight w:val="0"/>
      <w:marTop w:val="0"/>
      <w:marBottom w:val="0"/>
      <w:divBdr>
        <w:top w:val="none" w:sz="0" w:space="0" w:color="auto"/>
        <w:left w:val="none" w:sz="0" w:space="0" w:color="auto"/>
        <w:bottom w:val="none" w:sz="0" w:space="0" w:color="auto"/>
        <w:right w:val="none" w:sz="0" w:space="0" w:color="auto"/>
      </w:divBdr>
    </w:div>
    <w:div w:id="699816894">
      <w:bodyDiv w:val="1"/>
      <w:marLeft w:val="0"/>
      <w:marRight w:val="0"/>
      <w:marTop w:val="0"/>
      <w:marBottom w:val="0"/>
      <w:divBdr>
        <w:top w:val="none" w:sz="0" w:space="0" w:color="auto"/>
        <w:left w:val="none" w:sz="0" w:space="0" w:color="auto"/>
        <w:bottom w:val="none" w:sz="0" w:space="0" w:color="auto"/>
        <w:right w:val="none" w:sz="0" w:space="0" w:color="auto"/>
      </w:divBdr>
    </w:div>
    <w:div w:id="726759189">
      <w:bodyDiv w:val="1"/>
      <w:marLeft w:val="0"/>
      <w:marRight w:val="0"/>
      <w:marTop w:val="0"/>
      <w:marBottom w:val="0"/>
      <w:divBdr>
        <w:top w:val="none" w:sz="0" w:space="0" w:color="auto"/>
        <w:left w:val="none" w:sz="0" w:space="0" w:color="auto"/>
        <w:bottom w:val="none" w:sz="0" w:space="0" w:color="auto"/>
        <w:right w:val="none" w:sz="0" w:space="0" w:color="auto"/>
      </w:divBdr>
    </w:div>
    <w:div w:id="728964592">
      <w:bodyDiv w:val="1"/>
      <w:marLeft w:val="0"/>
      <w:marRight w:val="0"/>
      <w:marTop w:val="0"/>
      <w:marBottom w:val="0"/>
      <w:divBdr>
        <w:top w:val="none" w:sz="0" w:space="0" w:color="auto"/>
        <w:left w:val="none" w:sz="0" w:space="0" w:color="auto"/>
        <w:bottom w:val="none" w:sz="0" w:space="0" w:color="auto"/>
        <w:right w:val="none" w:sz="0" w:space="0" w:color="auto"/>
      </w:divBdr>
    </w:div>
    <w:div w:id="750275427">
      <w:bodyDiv w:val="1"/>
      <w:marLeft w:val="0"/>
      <w:marRight w:val="0"/>
      <w:marTop w:val="0"/>
      <w:marBottom w:val="0"/>
      <w:divBdr>
        <w:top w:val="none" w:sz="0" w:space="0" w:color="auto"/>
        <w:left w:val="none" w:sz="0" w:space="0" w:color="auto"/>
        <w:bottom w:val="none" w:sz="0" w:space="0" w:color="auto"/>
        <w:right w:val="none" w:sz="0" w:space="0" w:color="auto"/>
      </w:divBdr>
    </w:div>
    <w:div w:id="767308947">
      <w:bodyDiv w:val="1"/>
      <w:marLeft w:val="0"/>
      <w:marRight w:val="0"/>
      <w:marTop w:val="0"/>
      <w:marBottom w:val="0"/>
      <w:divBdr>
        <w:top w:val="none" w:sz="0" w:space="0" w:color="auto"/>
        <w:left w:val="none" w:sz="0" w:space="0" w:color="auto"/>
        <w:bottom w:val="none" w:sz="0" w:space="0" w:color="auto"/>
        <w:right w:val="none" w:sz="0" w:space="0" w:color="auto"/>
      </w:divBdr>
    </w:div>
    <w:div w:id="772478324">
      <w:bodyDiv w:val="1"/>
      <w:marLeft w:val="0"/>
      <w:marRight w:val="0"/>
      <w:marTop w:val="0"/>
      <w:marBottom w:val="0"/>
      <w:divBdr>
        <w:top w:val="none" w:sz="0" w:space="0" w:color="auto"/>
        <w:left w:val="none" w:sz="0" w:space="0" w:color="auto"/>
        <w:bottom w:val="none" w:sz="0" w:space="0" w:color="auto"/>
        <w:right w:val="none" w:sz="0" w:space="0" w:color="auto"/>
      </w:divBdr>
    </w:div>
    <w:div w:id="789202872">
      <w:bodyDiv w:val="1"/>
      <w:marLeft w:val="0"/>
      <w:marRight w:val="0"/>
      <w:marTop w:val="0"/>
      <w:marBottom w:val="0"/>
      <w:divBdr>
        <w:top w:val="none" w:sz="0" w:space="0" w:color="auto"/>
        <w:left w:val="none" w:sz="0" w:space="0" w:color="auto"/>
        <w:bottom w:val="none" w:sz="0" w:space="0" w:color="auto"/>
        <w:right w:val="none" w:sz="0" w:space="0" w:color="auto"/>
      </w:divBdr>
    </w:div>
    <w:div w:id="818620111">
      <w:bodyDiv w:val="1"/>
      <w:marLeft w:val="0"/>
      <w:marRight w:val="0"/>
      <w:marTop w:val="0"/>
      <w:marBottom w:val="0"/>
      <w:divBdr>
        <w:top w:val="none" w:sz="0" w:space="0" w:color="auto"/>
        <w:left w:val="none" w:sz="0" w:space="0" w:color="auto"/>
        <w:bottom w:val="none" w:sz="0" w:space="0" w:color="auto"/>
        <w:right w:val="none" w:sz="0" w:space="0" w:color="auto"/>
      </w:divBdr>
    </w:div>
    <w:div w:id="827331210">
      <w:bodyDiv w:val="1"/>
      <w:marLeft w:val="0"/>
      <w:marRight w:val="0"/>
      <w:marTop w:val="0"/>
      <w:marBottom w:val="0"/>
      <w:divBdr>
        <w:top w:val="none" w:sz="0" w:space="0" w:color="auto"/>
        <w:left w:val="none" w:sz="0" w:space="0" w:color="auto"/>
        <w:bottom w:val="none" w:sz="0" w:space="0" w:color="auto"/>
        <w:right w:val="none" w:sz="0" w:space="0" w:color="auto"/>
      </w:divBdr>
    </w:div>
    <w:div w:id="879126344">
      <w:bodyDiv w:val="1"/>
      <w:marLeft w:val="0"/>
      <w:marRight w:val="0"/>
      <w:marTop w:val="0"/>
      <w:marBottom w:val="0"/>
      <w:divBdr>
        <w:top w:val="none" w:sz="0" w:space="0" w:color="auto"/>
        <w:left w:val="none" w:sz="0" w:space="0" w:color="auto"/>
        <w:bottom w:val="none" w:sz="0" w:space="0" w:color="auto"/>
        <w:right w:val="none" w:sz="0" w:space="0" w:color="auto"/>
      </w:divBdr>
    </w:div>
    <w:div w:id="931277479">
      <w:bodyDiv w:val="1"/>
      <w:marLeft w:val="0"/>
      <w:marRight w:val="0"/>
      <w:marTop w:val="0"/>
      <w:marBottom w:val="0"/>
      <w:divBdr>
        <w:top w:val="none" w:sz="0" w:space="0" w:color="auto"/>
        <w:left w:val="none" w:sz="0" w:space="0" w:color="auto"/>
        <w:bottom w:val="none" w:sz="0" w:space="0" w:color="auto"/>
        <w:right w:val="none" w:sz="0" w:space="0" w:color="auto"/>
      </w:divBdr>
    </w:div>
    <w:div w:id="954869185">
      <w:bodyDiv w:val="1"/>
      <w:marLeft w:val="0"/>
      <w:marRight w:val="0"/>
      <w:marTop w:val="0"/>
      <w:marBottom w:val="0"/>
      <w:divBdr>
        <w:top w:val="none" w:sz="0" w:space="0" w:color="auto"/>
        <w:left w:val="none" w:sz="0" w:space="0" w:color="auto"/>
        <w:bottom w:val="none" w:sz="0" w:space="0" w:color="auto"/>
        <w:right w:val="none" w:sz="0" w:space="0" w:color="auto"/>
      </w:divBdr>
    </w:div>
    <w:div w:id="977371126">
      <w:bodyDiv w:val="1"/>
      <w:marLeft w:val="0"/>
      <w:marRight w:val="0"/>
      <w:marTop w:val="0"/>
      <w:marBottom w:val="0"/>
      <w:divBdr>
        <w:top w:val="none" w:sz="0" w:space="0" w:color="auto"/>
        <w:left w:val="none" w:sz="0" w:space="0" w:color="auto"/>
        <w:bottom w:val="none" w:sz="0" w:space="0" w:color="auto"/>
        <w:right w:val="none" w:sz="0" w:space="0" w:color="auto"/>
      </w:divBdr>
    </w:div>
    <w:div w:id="990405057">
      <w:bodyDiv w:val="1"/>
      <w:marLeft w:val="0"/>
      <w:marRight w:val="0"/>
      <w:marTop w:val="0"/>
      <w:marBottom w:val="0"/>
      <w:divBdr>
        <w:top w:val="none" w:sz="0" w:space="0" w:color="auto"/>
        <w:left w:val="none" w:sz="0" w:space="0" w:color="auto"/>
        <w:bottom w:val="none" w:sz="0" w:space="0" w:color="auto"/>
        <w:right w:val="none" w:sz="0" w:space="0" w:color="auto"/>
      </w:divBdr>
    </w:div>
    <w:div w:id="993683911">
      <w:bodyDiv w:val="1"/>
      <w:marLeft w:val="0"/>
      <w:marRight w:val="0"/>
      <w:marTop w:val="0"/>
      <w:marBottom w:val="0"/>
      <w:divBdr>
        <w:top w:val="none" w:sz="0" w:space="0" w:color="auto"/>
        <w:left w:val="none" w:sz="0" w:space="0" w:color="auto"/>
        <w:bottom w:val="none" w:sz="0" w:space="0" w:color="auto"/>
        <w:right w:val="none" w:sz="0" w:space="0" w:color="auto"/>
      </w:divBdr>
    </w:div>
    <w:div w:id="997271598">
      <w:bodyDiv w:val="1"/>
      <w:marLeft w:val="0"/>
      <w:marRight w:val="0"/>
      <w:marTop w:val="0"/>
      <w:marBottom w:val="0"/>
      <w:divBdr>
        <w:top w:val="none" w:sz="0" w:space="0" w:color="auto"/>
        <w:left w:val="none" w:sz="0" w:space="0" w:color="auto"/>
        <w:bottom w:val="none" w:sz="0" w:space="0" w:color="auto"/>
        <w:right w:val="none" w:sz="0" w:space="0" w:color="auto"/>
      </w:divBdr>
    </w:div>
    <w:div w:id="1018043267">
      <w:bodyDiv w:val="1"/>
      <w:marLeft w:val="0"/>
      <w:marRight w:val="0"/>
      <w:marTop w:val="0"/>
      <w:marBottom w:val="0"/>
      <w:divBdr>
        <w:top w:val="none" w:sz="0" w:space="0" w:color="auto"/>
        <w:left w:val="none" w:sz="0" w:space="0" w:color="auto"/>
        <w:bottom w:val="none" w:sz="0" w:space="0" w:color="auto"/>
        <w:right w:val="none" w:sz="0" w:space="0" w:color="auto"/>
      </w:divBdr>
    </w:div>
    <w:div w:id="1044717803">
      <w:bodyDiv w:val="1"/>
      <w:marLeft w:val="0"/>
      <w:marRight w:val="0"/>
      <w:marTop w:val="0"/>
      <w:marBottom w:val="0"/>
      <w:divBdr>
        <w:top w:val="none" w:sz="0" w:space="0" w:color="auto"/>
        <w:left w:val="none" w:sz="0" w:space="0" w:color="auto"/>
        <w:bottom w:val="none" w:sz="0" w:space="0" w:color="auto"/>
        <w:right w:val="none" w:sz="0" w:space="0" w:color="auto"/>
      </w:divBdr>
    </w:div>
    <w:div w:id="1051880939">
      <w:bodyDiv w:val="1"/>
      <w:marLeft w:val="0"/>
      <w:marRight w:val="0"/>
      <w:marTop w:val="0"/>
      <w:marBottom w:val="0"/>
      <w:divBdr>
        <w:top w:val="none" w:sz="0" w:space="0" w:color="auto"/>
        <w:left w:val="none" w:sz="0" w:space="0" w:color="auto"/>
        <w:bottom w:val="none" w:sz="0" w:space="0" w:color="auto"/>
        <w:right w:val="none" w:sz="0" w:space="0" w:color="auto"/>
      </w:divBdr>
    </w:div>
    <w:div w:id="1077824909">
      <w:bodyDiv w:val="1"/>
      <w:marLeft w:val="0"/>
      <w:marRight w:val="0"/>
      <w:marTop w:val="0"/>
      <w:marBottom w:val="0"/>
      <w:divBdr>
        <w:top w:val="none" w:sz="0" w:space="0" w:color="auto"/>
        <w:left w:val="none" w:sz="0" w:space="0" w:color="auto"/>
        <w:bottom w:val="none" w:sz="0" w:space="0" w:color="auto"/>
        <w:right w:val="none" w:sz="0" w:space="0" w:color="auto"/>
      </w:divBdr>
    </w:div>
    <w:div w:id="1081172311">
      <w:bodyDiv w:val="1"/>
      <w:marLeft w:val="0"/>
      <w:marRight w:val="0"/>
      <w:marTop w:val="0"/>
      <w:marBottom w:val="0"/>
      <w:divBdr>
        <w:top w:val="none" w:sz="0" w:space="0" w:color="auto"/>
        <w:left w:val="none" w:sz="0" w:space="0" w:color="auto"/>
        <w:bottom w:val="none" w:sz="0" w:space="0" w:color="auto"/>
        <w:right w:val="none" w:sz="0" w:space="0" w:color="auto"/>
      </w:divBdr>
    </w:div>
    <w:div w:id="1188641686">
      <w:bodyDiv w:val="1"/>
      <w:marLeft w:val="0"/>
      <w:marRight w:val="0"/>
      <w:marTop w:val="0"/>
      <w:marBottom w:val="0"/>
      <w:divBdr>
        <w:top w:val="none" w:sz="0" w:space="0" w:color="auto"/>
        <w:left w:val="none" w:sz="0" w:space="0" w:color="auto"/>
        <w:bottom w:val="none" w:sz="0" w:space="0" w:color="auto"/>
        <w:right w:val="none" w:sz="0" w:space="0" w:color="auto"/>
      </w:divBdr>
    </w:div>
    <w:div w:id="1192498906">
      <w:bodyDiv w:val="1"/>
      <w:marLeft w:val="0"/>
      <w:marRight w:val="0"/>
      <w:marTop w:val="0"/>
      <w:marBottom w:val="0"/>
      <w:divBdr>
        <w:top w:val="none" w:sz="0" w:space="0" w:color="auto"/>
        <w:left w:val="none" w:sz="0" w:space="0" w:color="auto"/>
        <w:bottom w:val="none" w:sz="0" w:space="0" w:color="auto"/>
        <w:right w:val="none" w:sz="0" w:space="0" w:color="auto"/>
      </w:divBdr>
    </w:div>
    <w:div w:id="1201017614">
      <w:bodyDiv w:val="1"/>
      <w:marLeft w:val="0"/>
      <w:marRight w:val="0"/>
      <w:marTop w:val="0"/>
      <w:marBottom w:val="0"/>
      <w:divBdr>
        <w:top w:val="none" w:sz="0" w:space="0" w:color="auto"/>
        <w:left w:val="none" w:sz="0" w:space="0" w:color="auto"/>
        <w:bottom w:val="none" w:sz="0" w:space="0" w:color="auto"/>
        <w:right w:val="none" w:sz="0" w:space="0" w:color="auto"/>
      </w:divBdr>
    </w:div>
    <w:div w:id="1251236645">
      <w:bodyDiv w:val="1"/>
      <w:marLeft w:val="0"/>
      <w:marRight w:val="0"/>
      <w:marTop w:val="0"/>
      <w:marBottom w:val="0"/>
      <w:divBdr>
        <w:top w:val="none" w:sz="0" w:space="0" w:color="auto"/>
        <w:left w:val="none" w:sz="0" w:space="0" w:color="auto"/>
        <w:bottom w:val="none" w:sz="0" w:space="0" w:color="auto"/>
        <w:right w:val="none" w:sz="0" w:space="0" w:color="auto"/>
      </w:divBdr>
    </w:div>
    <w:div w:id="1298754835">
      <w:bodyDiv w:val="1"/>
      <w:marLeft w:val="0"/>
      <w:marRight w:val="0"/>
      <w:marTop w:val="0"/>
      <w:marBottom w:val="0"/>
      <w:divBdr>
        <w:top w:val="none" w:sz="0" w:space="0" w:color="auto"/>
        <w:left w:val="none" w:sz="0" w:space="0" w:color="auto"/>
        <w:bottom w:val="none" w:sz="0" w:space="0" w:color="auto"/>
        <w:right w:val="none" w:sz="0" w:space="0" w:color="auto"/>
      </w:divBdr>
    </w:div>
    <w:div w:id="1310015794">
      <w:bodyDiv w:val="1"/>
      <w:marLeft w:val="0"/>
      <w:marRight w:val="0"/>
      <w:marTop w:val="0"/>
      <w:marBottom w:val="0"/>
      <w:divBdr>
        <w:top w:val="none" w:sz="0" w:space="0" w:color="auto"/>
        <w:left w:val="none" w:sz="0" w:space="0" w:color="auto"/>
        <w:bottom w:val="none" w:sz="0" w:space="0" w:color="auto"/>
        <w:right w:val="none" w:sz="0" w:space="0" w:color="auto"/>
      </w:divBdr>
    </w:div>
    <w:div w:id="1319336074">
      <w:bodyDiv w:val="1"/>
      <w:marLeft w:val="0"/>
      <w:marRight w:val="0"/>
      <w:marTop w:val="0"/>
      <w:marBottom w:val="0"/>
      <w:divBdr>
        <w:top w:val="none" w:sz="0" w:space="0" w:color="auto"/>
        <w:left w:val="none" w:sz="0" w:space="0" w:color="auto"/>
        <w:bottom w:val="none" w:sz="0" w:space="0" w:color="auto"/>
        <w:right w:val="none" w:sz="0" w:space="0" w:color="auto"/>
      </w:divBdr>
    </w:div>
    <w:div w:id="1347445301">
      <w:bodyDiv w:val="1"/>
      <w:marLeft w:val="0"/>
      <w:marRight w:val="0"/>
      <w:marTop w:val="0"/>
      <w:marBottom w:val="0"/>
      <w:divBdr>
        <w:top w:val="none" w:sz="0" w:space="0" w:color="auto"/>
        <w:left w:val="none" w:sz="0" w:space="0" w:color="auto"/>
        <w:bottom w:val="none" w:sz="0" w:space="0" w:color="auto"/>
        <w:right w:val="none" w:sz="0" w:space="0" w:color="auto"/>
      </w:divBdr>
    </w:div>
    <w:div w:id="1405033491">
      <w:bodyDiv w:val="1"/>
      <w:marLeft w:val="0"/>
      <w:marRight w:val="0"/>
      <w:marTop w:val="0"/>
      <w:marBottom w:val="0"/>
      <w:divBdr>
        <w:top w:val="none" w:sz="0" w:space="0" w:color="auto"/>
        <w:left w:val="none" w:sz="0" w:space="0" w:color="auto"/>
        <w:bottom w:val="none" w:sz="0" w:space="0" w:color="auto"/>
        <w:right w:val="none" w:sz="0" w:space="0" w:color="auto"/>
      </w:divBdr>
    </w:div>
    <w:div w:id="1418593669">
      <w:bodyDiv w:val="1"/>
      <w:marLeft w:val="0"/>
      <w:marRight w:val="0"/>
      <w:marTop w:val="0"/>
      <w:marBottom w:val="0"/>
      <w:divBdr>
        <w:top w:val="none" w:sz="0" w:space="0" w:color="auto"/>
        <w:left w:val="none" w:sz="0" w:space="0" w:color="auto"/>
        <w:bottom w:val="none" w:sz="0" w:space="0" w:color="auto"/>
        <w:right w:val="none" w:sz="0" w:space="0" w:color="auto"/>
      </w:divBdr>
    </w:div>
    <w:div w:id="1421098186">
      <w:bodyDiv w:val="1"/>
      <w:marLeft w:val="0"/>
      <w:marRight w:val="0"/>
      <w:marTop w:val="0"/>
      <w:marBottom w:val="0"/>
      <w:divBdr>
        <w:top w:val="none" w:sz="0" w:space="0" w:color="auto"/>
        <w:left w:val="none" w:sz="0" w:space="0" w:color="auto"/>
        <w:bottom w:val="none" w:sz="0" w:space="0" w:color="auto"/>
        <w:right w:val="none" w:sz="0" w:space="0" w:color="auto"/>
      </w:divBdr>
    </w:div>
    <w:div w:id="1427843997">
      <w:bodyDiv w:val="1"/>
      <w:marLeft w:val="0"/>
      <w:marRight w:val="0"/>
      <w:marTop w:val="0"/>
      <w:marBottom w:val="0"/>
      <w:divBdr>
        <w:top w:val="none" w:sz="0" w:space="0" w:color="auto"/>
        <w:left w:val="none" w:sz="0" w:space="0" w:color="auto"/>
        <w:bottom w:val="none" w:sz="0" w:space="0" w:color="auto"/>
        <w:right w:val="none" w:sz="0" w:space="0" w:color="auto"/>
      </w:divBdr>
    </w:div>
    <w:div w:id="1430615446">
      <w:bodyDiv w:val="1"/>
      <w:marLeft w:val="0"/>
      <w:marRight w:val="0"/>
      <w:marTop w:val="0"/>
      <w:marBottom w:val="0"/>
      <w:divBdr>
        <w:top w:val="none" w:sz="0" w:space="0" w:color="auto"/>
        <w:left w:val="none" w:sz="0" w:space="0" w:color="auto"/>
        <w:bottom w:val="none" w:sz="0" w:space="0" w:color="auto"/>
        <w:right w:val="none" w:sz="0" w:space="0" w:color="auto"/>
      </w:divBdr>
    </w:div>
    <w:div w:id="1451166228">
      <w:bodyDiv w:val="1"/>
      <w:marLeft w:val="0"/>
      <w:marRight w:val="0"/>
      <w:marTop w:val="0"/>
      <w:marBottom w:val="0"/>
      <w:divBdr>
        <w:top w:val="none" w:sz="0" w:space="0" w:color="auto"/>
        <w:left w:val="none" w:sz="0" w:space="0" w:color="auto"/>
        <w:bottom w:val="none" w:sz="0" w:space="0" w:color="auto"/>
        <w:right w:val="none" w:sz="0" w:space="0" w:color="auto"/>
      </w:divBdr>
    </w:div>
    <w:div w:id="1455557885">
      <w:bodyDiv w:val="1"/>
      <w:marLeft w:val="0"/>
      <w:marRight w:val="0"/>
      <w:marTop w:val="0"/>
      <w:marBottom w:val="0"/>
      <w:divBdr>
        <w:top w:val="none" w:sz="0" w:space="0" w:color="auto"/>
        <w:left w:val="none" w:sz="0" w:space="0" w:color="auto"/>
        <w:bottom w:val="none" w:sz="0" w:space="0" w:color="auto"/>
        <w:right w:val="none" w:sz="0" w:space="0" w:color="auto"/>
      </w:divBdr>
    </w:div>
    <w:div w:id="1473450964">
      <w:bodyDiv w:val="1"/>
      <w:marLeft w:val="0"/>
      <w:marRight w:val="0"/>
      <w:marTop w:val="0"/>
      <w:marBottom w:val="0"/>
      <w:divBdr>
        <w:top w:val="none" w:sz="0" w:space="0" w:color="auto"/>
        <w:left w:val="none" w:sz="0" w:space="0" w:color="auto"/>
        <w:bottom w:val="none" w:sz="0" w:space="0" w:color="auto"/>
        <w:right w:val="none" w:sz="0" w:space="0" w:color="auto"/>
      </w:divBdr>
    </w:div>
    <w:div w:id="1479110759">
      <w:bodyDiv w:val="1"/>
      <w:marLeft w:val="0"/>
      <w:marRight w:val="0"/>
      <w:marTop w:val="0"/>
      <w:marBottom w:val="0"/>
      <w:divBdr>
        <w:top w:val="none" w:sz="0" w:space="0" w:color="auto"/>
        <w:left w:val="none" w:sz="0" w:space="0" w:color="auto"/>
        <w:bottom w:val="none" w:sz="0" w:space="0" w:color="auto"/>
        <w:right w:val="none" w:sz="0" w:space="0" w:color="auto"/>
      </w:divBdr>
    </w:div>
    <w:div w:id="1505167046">
      <w:bodyDiv w:val="1"/>
      <w:marLeft w:val="0"/>
      <w:marRight w:val="0"/>
      <w:marTop w:val="0"/>
      <w:marBottom w:val="0"/>
      <w:divBdr>
        <w:top w:val="none" w:sz="0" w:space="0" w:color="auto"/>
        <w:left w:val="none" w:sz="0" w:space="0" w:color="auto"/>
        <w:bottom w:val="none" w:sz="0" w:space="0" w:color="auto"/>
        <w:right w:val="none" w:sz="0" w:space="0" w:color="auto"/>
      </w:divBdr>
    </w:div>
    <w:div w:id="1507596684">
      <w:bodyDiv w:val="1"/>
      <w:marLeft w:val="0"/>
      <w:marRight w:val="0"/>
      <w:marTop w:val="0"/>
      <w:marBottom w:val="0"/>
      <w:divBdr>
        <w:top w:val="none" w:sz="0" w:space="0" w:color="auto"/>
        <w:left w:val="none" w:sz="0" w:space="0" w:color="auto"/>
        <w:bottom w:val="none" w:sz="0" w:space="0" w:color="auto"/>
        <w:right w:val="none" w:sz="0" w:space="0" w:color="auto"/>
      </w:divBdr>
    </w:div>
    <w:div w:id="1533616971">
      <w:bodyDiv w:val="1"/>
      <w:marLeft w:val="0"/>
      <w:marRight w:val="0"/>
      <w:marTop w:val="0"/>
      <w:marBottom w:val="0"/>
      <w:divBdr>
        <w:top w:val="none" w:sz="0" w:space="0" w:color="auto"/>
        <w:left w:val="none" w:sz="0" w:space="0" w:color="auto"/>
        <w:bottom w:val="none" w:sz="0" w:space="0" w:color="auto"/>
        <w:right w:val="none" w:sz="0" w:space="0" w:color="auto"/>
      </w:divBdr>
    </w:div>
    <w:div w:id="1546218546">
      <w:bodyDiv w:val="1"/>
      <w:marLeft w:val="0"/>
      <w:marRight w:val="0"/>
      <w:marTop w:val="0"/>
      <w:marBottom w:val="0"/>
      <w:divBdr>
        <w:top w:val="none" w:sz="0" w:space="0" w:color="auto"/>
        <w:left w:val="none" w:sz="0" w:space="0" w:color="auto"/>
        <w:bottom w:val="none" w:sz="0" w:space="0" w:color="auto"/>
        <w:right w:val="none" w:sz="0" w:space="0" w:color="auto"/>
      </w:divBdr>
    </w:div>
    <w:div w:id="1583752810">
      <w:bodyDiv w:val="1"/>
      <w:marLeft w:val="0"/>
      <w:marRight w:val="0"/>
      <w:marTop w:val="0"/>
      <w:marBottom w:val="0"/>
      <w:divBdr>
        <w:top w:val="none" w:sz="0" w:space="0" w:color="auto"/>
        <w:left w:val="none" w:sz="0" w:space="0" w:color="auto"/>
        <w:bottom w:val="none" w:sz="0" w:space="0" w:color="auto"/>
        <w:right w:val="none" w:sz="0" w:space="0" w:color="auto"/>
      </w:divBdr>
    </w:div>
    <w:div w:id="1597668144">
      <w:bodyDiv w:val="1"/>
      <w:marLeft w:val="0"/>
      <w:marRight w:val="0"/>
      <w:marTop w:val="0"/>
      <w:marBottom w:val="0"/>
      <w:divBdr>
        <w:top w:val="none" w:sz="0" w:space="0" w:color="auto"/>
        <w:left w:val="none" w:sz="0" w:space="0" w:color="auto"/>
        <w:bottom w:val="none" w:sz="0" w:space="0" w:color="auto"/>
        <w:right w:val="none" w:sz="0" w:space="0" w:color="auto"/>
      </w:divBdr>
    </w:div>
    <w:div w:id="1599756207">
      <w:bodyDiv w:val="1"/>
      <w:marLeft w:val="0"/>
      <w:marRight w:val="0"/>
      <w:marTop w:val="0"/>
      <w:marBottom w:val="0"/>
      <w:divBdr>
        <w:top w:val="none" w:sz="0" w:space="0" w:color="auto"/>
        <w:left w:val="none" w:sz="0" w:space="0" w:color="auto"/>
        <w:bottom w:val="none" w:sz="0" w:space="0" w:color="auto"/>
        <w:right w:val="none" w:sz="0" w:space="0" w:color="auto"/>
      </w:divBdr>
    </w:div>
    <w:div w:id="1613434202">
      <w:bodyDiv w:val="1"/>
      <w:marLeft w:val="0"/>
      <w:marRight w:val="0"/>
      <w:marTop w:val="0"/>
      <w:marBottom w:val="0"/>
      <w:divBdr>
        <w:top w:val="none" w:sz="0" w:space="0" w:color="auto"/>
        <w:left w:val="none" w:sz="0" w:space="0" w:color="auto"/>
        <w:bottom w:val="none" w:sz="0" w:space="0" w:color="auto"/>
        <w:right w:val="none" w:sz="0" w:space="0" w:color="auto"/>
      </w:divBdr>
    </w:div>
    <w:div w:id="1654872874">
      <w:bodyDiv w:val="1"/>
      <w:marLeft w:val="0"/>
      <w:marRight w:val="0"/>
      <w:marTop w:val="0"/>
      <w:marBottom w:val="0"/>
      <w:divBdr>
        <w:top w:val="none" w:sz="0" w:space="0" w:color="auto"/>
        <w:left w:val="none" w:sz="0" w:space="0" w:color="auto"/>
        <w:bottom w:val="none" w:sz="0" w:space="0" w:color="auto"/>
        <w:right w:val="none" w:sz="0" w:space="0" w:color="auto"/>
      </w:divBdr>
    </w:div>
    <w:div w:id="1700740268">
      <w:bodyDiv w:val="1"/>
      <w:marLeft w:val="0"/>
      <w:marRight w:val="0"/>
      <w:marTop w:val="0"/>
      <w:marBottom w:val="0"/>
      <w:divBdr>
        <w:top w:val="none" w:sz="0" w:space="0" w:color="auto"/>
        <w:left w:val="none" w:sz="0" w:space="0" w:color="auto"/>
        <w:bottom w:val="none" w:sz="0" w:space="0" w:color="auto"/>
        <w:right w:val="none" w:sz="0" w:space="0" w:color="auto"/>
      </w:divBdr>
    </w:div>
    <w:div w:id="1719358141">
      <w:bodyDiv w:val="1"/>
      <w:marLeft w:val="0"/>
      <w:marRight w:val="0"/>
      <w:marTop w:val="0"/>
      <w:marBottom w:val="0"/>
      <w:divBdr>
        <w:top w:val="none" w:sz="0" w:space="0" w:color="auto"/>
        <w:left w:val="none" w:sz="0" w:space="0" w:color="auto"/>
        <w:bottom w:val="none" w:sz="0" w:space="0" w:color="auto"/>
        <w:right w:val="none" w:sz="0" w:space="0" w:color="auto"/>
      </w:divBdr>
    </w:div>
    <w:div w:id="1732848369">
      <w:bodyDiv w:val="1"/>
      <w:marLeft w:val="0"/>
      <w:marRight w:val="0"/>
      <w:marTop w:val="0"/>
      <w:marBottom w:val="0"/>
      <w:divBdr>
        <w:top w:val="none" w:sz="0" w:space="0" w:color="auto"/>
        <w:left w:val="none" w:sz="0" w:space="0" w:color="auto"/>
        <w:bottom w:val="none" w:sz="0" w:space="0" w:color="auto"/>
        <w:right w:val="none" w:sz="0" w:space="0" w:color="auto"/>
      </w:divBdr>
    </w:div>
    <w:div w:id="1744333161">
      <w:bodyDiv w:val="1"/>
      <w:marLeft w:val="0"/>
      <w:marRight w:val="0"/>
      <w:marTop w:val="0"/>
      <w:marBottom w:val="0"/>
      <w:divBdr>
        <w:top w:val="none" w:sz="0" w:space="0" w:color="auto"/>
        <w:left w:val="none" w:sz="0" w:space="0" w:color="auto"/>
        <w:bottom w:val="none" w:sz="0" w:space="0" w:color="auto"/>
        <w:right w:val="none" w:sz="0" w:space="0" w:color="auto"/>
      </w:divBdr>
    </w:div>
    <w:div w:id="1761366935">
      <w:bodyDiv w:val="1"/>
      <w:marLeft w:val="0"/>
      <w:marRight w:val="0"/>
      <w:marTop w:val="0"/>
      <w:marBottom w:val="0"/>
      <w:divBdr>
        <w:top w:val="none" w:sz="0" w:space="0" w:color="auto"/>
        <w:left w:val="none" w:sz="0" w:space="0" w:color="auto"/>
        <w:bottom w:val="none" w:sz="0" w:space="0" w:color="auto"/>
        <w:right w:val="none" w:sz="0" w:space="0" w:color="auto"/>
      </w:divBdr>
    </w:div>
    <w:div w:id="1762872080">
      <w:bodyDiv w:val="1"/>
      <w:marLeft w:val="0"/>
      <w:marRight w:val="0"/>
      <w:marTop w:val="0"/>
      <w:marBottom w:val="0"/>
      <w:divBdr>
        <w:top w:val="none" w:sz="0" w:space="0" w:color="auto"/>
        <w:left w:val="none" w:sz="0" w:space="0" w:color="auto"/>
        <w:bottom w:val="none" w:sz="0" w:space="0" w:color="auto"/>
        <w:right w:val="none" w:sz="0" w:space="0" w:color="auto"/>
      </w:divBdr>
    </w:div>
    <w:div w:id="1766001458">
      <w:bodyDiv w:val="1"/>
      <w:marLeft w:val="0"/>
      <w:marRight w:val="0"/>
      <w:marTop w:val="0"/>
      <w:marBottom w:val="0"/>
      <w:divBdr>
        <w:top w:val="none" w:sz="0" w:space="0" w:color="auto"/>
        <w:left w:val="none" w:sz="0" w:space="0" w:color="auto"/>
        <w:bottom w:val="none" w:sz="0" w:space="0" w:color="auto"/>
        <w:right w:val="none" w:sz="0" w:space="0" w:color="auto"/>
      </w:divBdr>
    </w:div>
    <w:div w:id="1779711896">
      <w:bodyDiv w:val="1"/>
      <w:marLeft w:val="0"/>
      <w:marRight w:val="0"/>
      <w:marTop w:val="0"/>
      <w:marBottom w:val="0"/>
      <w:divBdr>
        <w:top w:val="none" w:sz="0" w:space="0" w:color="auto"/>
        <w:left w:val="none" w:sz="0" w:space="0" w:color="auto"/>
        <w:bottom w:val="none" w:sz="0" w:space="0" w:color="auto"/>
        <w:right w:val="none" w:sz="0" w:space="0" w:color="auto"/>
      </w:divBdr>
    </w:div>
    <w:div w:id="1782332617">
      <w:bodyDiv w:val="1"/>
      <w:marLeft w:val="0"/>
      <w:marRight w:val="0"/>
      <w:marTop w:val="0"/>
      <w:marBottom w:val="0"/>
      <w:divBdr>
        <w:top w:val="none" w:sz="0" w:space="0" w:color="auto"/>
        <w:left w:val="none" w:sz="0" w:space="0" w:color="auto"/>
        <w:bottom w:val="none" w:sz="0" w:space="0" w:color="auto"/>
        <w:right w:val="none" w:sz="0" w:space="0" w:color="auto"/>
      </w:divBdr>
    </w:div>
    <w:div w:id="1803421473">
      <w:bodyDiv w:val="1"/>
      <w:marLeft w:val="0"/>
      <w:marRight w:val="0"/>
      <w:marTop w:val="0"/>
      <w:marBottom w:val="0"/>
      <w:divBdr>
        <w:top w:val="none" w:sz="0" w:space="0" w:color="auto"/>
        <w:left w:val="none" w:sz="0" w:space="0" w:color="auto"/>
        <w:bottom w:val="none" w:sz="0" w:space="0" w:color="auto"/>
        <w:right w:val="none" w:sz="0" w:space="0" w:color="auto"/>
      </w:divBdr>
    </w:div>
    <w:div w:id="1859738432">
      <w:bodyDiv w:val="1"/>
      <w:marLeft w:val="0"/>
      <w:marRight w:val="0"/>
      <w:marTop w:val="0"/>
      <w:marBottom w:val="0"/>
      <w:divBdr>
        <w:top w:val="none" w:sz="0" w:space="0" w:color="auto"/>
        <w:left w:val="none" w:sz="0" w:space="0" w:color="auto"/>
        <w:bottom w:val="none" w:sz="0" w:space="0" w:color="auto"/>
        <w:right w:val="none" w:sz="0" w:space="0" w:color="auto"/>
      </w:divBdr>
    </w:div>
    <w:div w:id="1871869211">
      <w:bodyDiv w:val="1"/>
      <w:marLeft w:val="0"/>
      <w:marRight w:val="0"/>
      <w:marTop w:val="0"/>
      <w:marBottom w:val="0"/>
      <w:divBdr>
        <w:top w:val="none" w:sz="0" w:space="0" w:color="auto"/>
        <w:left w:val="none" w:sz="0" w:space="0" w:color="auto"/>
        <w:bottom w:val="none" w:sz="0" w:space="0" w:color="auto"/>
        <w:right w:val="none" w:sz="0" w:space="0" w:color="auto"/>
      </w:divBdr>
    </w:div>
    <w:div w:id="1875540137">
      <w:bodyDiv w:val="1"/>
      <w:marLeft w:val="0"/>
      <w:marRight w:val="0"/>
      <w:marTop w:val="0"/>
      <w:marBottom w:val="0"/>
      <w:divBdr>
        <w:top w:val="none" w:sz="0" w:space="0" w:color="auto"/>
        <w:left w:val="none" w:sz="0" w:space="0" w:color="auto"/>
        <w:bottom w:val="none" w:sz="0" w:space="0" w:color="auto"/>
        <w:right w:val="none" w:sz="0" w:space="0" w:color="auto"/>
      </w:divBdr>
    </w:div>
    <w:div w:id="1927686617">
      <w:bodyDiv w:val="1"/>
      <w:marLeft w:val="0"/>
      <w:marRight w:val="0"/>
      <w:marTop w:val="0"/>
      <w:marBottom w:val="0"/>
      <w:divBdr>
        <w:top w:val="none" w:sz="0" w:space="0" w:color="auto"/>
        <w:left w:val="none" w:sz="0" w:space="0" w:color="auto"/>
        <w:bottom w:val="none" w:sz="0" w:space="0" w:color="auto"/>
        <w:right w:val="none" w:sz="0" w:space="0" w:color="auto"/>
      </w:divBdr>
    </w:div>
    <w:div w:id="1953318539">
      <w:bodyDiv w:val="1"/>
      <w:marLeft w:val="0"/>
      <w:marRight w:val="0"/>
      <w:marTop w:val="0"/>
      <w:marBottom w:val="0"/>
      <w:divBdr>
        <w:top w:val="none" w:sz="0" w:space="0" w:color="auto"/>
        <w:left w:val="none" w:sz="0" w:space="0" w:color="auto"/>
        <w:bottom w:val="none" w:sz="0" w:space="0" w:color="auto"/>
        <w:right w:val="none" w:sz="0" w:space="0" w:color="auto"/>
      </w:divBdr>
    </w:div>
    <w:div w:id="1998419139">
      <w:bodyDiv w:val="1"/>
      <w:marLeft w:val="0"/>
      <w:marRight w:val="0"/>
      <w:marTop w:val="0"/>
      <w:marBottom w:val="0"/>
      <w:divBdr>
        <w:top w:val="none" w:sz="0" w:space="0" w:color="auto"/>
        <w:left w:val="none" w:sz="0" w:space="0" w:color="auto"/>
        <w:bottom w:val="none" w:sz="0" w:space="0" w:color="auto"/>
        <w:right w:val="none" w:sz="0" w:space="0" w:color="auto"/>
      </w:divBdr>
    </w:div>
    <w:div w:id="2051416929">
      <w:bodyDiv w:val="1"/>
      <w:marLeft w:val="0"/>
      <w:marRight w:val="0"/>
      <w:marTop w:val="0"/>
      <w:marBottom w:val="0"/>
      <w:divBdr>
        <w:top w:val="none" w:sz="0" w:space="0" w:color="auto"/>
        <w:left w:val="none" w:sz="0" w:space="0" w:color="auto"/>
        <w:bottom w:val="none" w:sz="0" w:space="0" w:color="auto"/>
        <w:right w:val="none" w:sz="0" w:space="0" w:color="auto"/>
      </w:divBdr>
    </w:div>
    <w:div w:id="2069500115">
      <w:bodyDiv w:val="1"/>
      <w:marLeft w:val="0"/>
      <w:marRight w:val="0"/>
      <w:marTop w:val="0"/>
      <w:marBottom w:val="0"/>
      <w:divBdr>
        <w:top w:val="none" w:sz="0" w:space="0" w:color="auto"/>
        <w:left w:val="none" w:sz="0" w:space="0" w:color="auto"/>
        <w:bottom w:val="none" w:sz="0" w:space="0" w:color="auto"/>
        <w:right w:val="none" w:sz="0" w:space="0" w:color="auto"/>
      </w:divBdr>
    </w:div>
    <w:div w:id="2076659427">
      <w:bodyDiv w:val="1"/>
      <w:marLeft w:val="0"/>
      <w:marRight w:val="0"/>
      <w:marTop w:val="0"/>
      <w:marBottom w:val="0"/>
      <w:divBdr>
        <w:top w:val="none" w:sz="0" w:space="0" w:color="auto"/>
        <w:left w:val="none" w:sz="0" w:space="0" w:color="auto"/>
        <w:bottom w:val="none" w:sz="0" w:space="0" w:color="auto"/>
        <w:right w:val="none" w:sz="0" w:space="0" w:color="auto"/>
      </w:divBdr>
    </w:div>
    <w:div w:id="2082022409">
      <w:bodyDiv w:val="1"/>
      <w:marLeft w:val="0"/>
      <w:marRight w:val="0"/>
      <w:marTop w:val="0"/>
      <w:marBottom w:val="0"/>
      <w:divBdr>
        <w:top w:val="none" w:sz="0" w:space="0" w:color="auto"/>
        <w:left w:val="none" w:sz="0" w:space="0" w:color="auto"/>
        <w:bottom w:val="none" w:sz="0" w:space="0" w:color="auto"/>
        <w:right w:val="none" w:sz="0" w:space="0" w:color="auto"/>
      </w:divBdr>
    </w:div>
    <w:div w:id="2110276244">
      <w:bodyDiv w:val="1"/>
      <w:marLeft w:val="0"/>
      <w:marRight w:val="0"/>
      <w:marTop w:val="0"/>
      <w:marBottom w:val="0"/>
      <w:divBdr>
        <w:top w:val="none" w:sz="0" w:space="0" w:color="auto"/>
        <w:left w:val="none" w:sz="0" w:space="0" w:color="auto"/>
        <w:bottom w:val="none" w:sz="0" w:space="0" w:color="auto"/>
        <w:right w:val="none" w:sz="0" w:space="0" w:color="auto"/>
      </w:divBdr>
    </w:div>
    <w:div w:id="2115249982">
      <w:bodyDiv w:val="1"/>
      <w:marLeft w:val="0"/>
      <w:marRight w:val="0"/>
      <w:marTop w:val="0"/>
      <w:marBottom w:val="0"/>
      <w:divBdr>
        <w:top w:val="none" w:sz="0" w:space="0" w:color="auto"/>
        <w:left w:val="none" w:sz="0" w:space="0" w:color="auto"/>
        <w:bottom w:val="none" w:sz="0" w:space="0" w:color="auto"/>
        <w:right w:val="none" w:sz="0" w:space="0" w:color="auto"/>
      </w:divBdr>
    </w:div>
    <w:div w:id="2122214868">
      <w:bodyDiv w:val="1"/>
      <w:marLeft w:val="0"/>
      <w:marRight w:val="0"/>
      <w:marTop w:val="0"/>
      <w:marBottom w:val="0"/>
      <w:divBdr>
        <w:top w:val="none" w:sz="0" w:space="0" w:color="auto"/>
        <w:left w:val="none" w:sz="0" w:space="0" w:color="auto"/>
        <w:bottom w:val="none" w:sz="0" w:space="0" w:color="auto"/>
        <w:right w:val="none" w:sz="0" w:space="0" w:color="auto"/>
      </w:divBdr>
    </w:div>
    <w:div w:id="2127305795">
      <w:bodyDiv w:val="1"/>
      <w:marLeft w:val="0"/>
      <w:marRight w:val="0"/>
      <w:marTop w:val="0"/>
      <w:marBottom w:val="0"/>
      <w:divBdr>
        <w:top w:val="none" w:sz="0" w:space="0" w:color="auto"/>
        <w:left w:val="none" w:sz="0" w:space="0" w:color="auto"/>
        <w:bottom w:val="none" w:sz="0" w:space="0" w:color="auto"/>
        <w:right w:val="none" w:sz="0" w:space="0" w:color="auto"/>
      </w:divBdr>
    </w:div>
    <w:div w:id="2134057744">
      <w:bodyDiv w:val="1"/>
      <w:marLeft w:val="0"/>
      <w:marRight w:val="0"/>
      <w:marTop w:val="0"/>
      <w:marBottom w:val="0"/>
      <w:divBdr>
        <w:top w:val="none" w:sz="0" w:space="0" w:color="auto"/>
        <w:left w:val="none" w:sz="0" w:space="0" w:color="auto"/>
        <w:bottom w:val="none" w:sz="0" w:space="0" w:color="auto"/>
        <w:right w:val="none" w:sz="0" w:space="0" w:color="auto"/>
      </w:divBdr>
    </w:div>
    <w:div w:id="213949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psc.mo.gov/CMSInternetData/ON/Orders/2014/12031415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131</Pages>
  <Words>38639</Words>
  <Characters>213018</Characters>
  <Application>Microsoft Office Word</Application>
  <DocSecurity>0</DocSecurity>
  <Lines>1775</Lines>
  <Paragraphs>502</Paragraphs>
  <ScaleCrop>false</ScaleCrop>
  <Company/>
  <LinksUpToDate>false</LinksUpToDate>
  <CharactersWithSpaces>251155</CharactersWithSpaces>
  <SharedDoc>false</SharedDoc>
  <HLinks>
    <vt:vector size="1308" baseType="variant">
      <vt:variant>
        <vt:i4>1376311</vt:i4>
      </vt:variant>
      <vt:variant>
        <vt:i4>1302</vt:i4>
      </vt:variant>
      <vt:variant>
        <vt:i4>0</vt:i4>
      </vt:variant>
      <vt:variant>
        <vt:i4>5</vt:i4>
      </vt:variant>
      <vt:variant>
        <vt:lpwstr/>
      </vt:variant>
      <vt:variant>
        <vt:lpwstr>_Toc493082897</vt:lpwstr>
      </vt:variant>
      <vt:variant>
        <vt:i4>1376311</vt:i4>
      </vt:variant>
      <vt:variant>
        <vt:i4>1296</vt:i4>
      </vt:variant>
      <vt:variant>
        <vt:i4>0</vt:i4>
      </vt:variant>
      <vt:variant>
        <vt:i4>5</vt:i4>
      </vt:variant>
      <vt:variant>
        <vt:lpwstr/>
      </vt:variant>
      <vt:variant>
        <vt:lpwstr>_Toc493082896</vt:lpwstr>
      </vt:variant>
      <vt:variant>
        <vt:i4>1376311</vt:i4>
      </vt:variant>
      <vt:variant>
        <vt:i4>1290</vt:i4>
      </vt:variant>
      <vt:variant>
        <vt:i4>0</vt:i4>
      </vt:variant>
      <vt:variant>
        <vt:i4>5</vt:i4>
      </vt:variant>
      <vt:variant>
        <vt:lpwstr/>
      </vt:variant>
      <vt:variant>
        <vt:lpwstr>_Toc493082895</vt:lpwstr>
      </vt:variant>
      <vt:variant>
        <vt:i4>1376311</vt:i4>
      </vt:variant>
      <vt:variant>
        <vt:i4>1284</vt:i4>
      </vt:variant>
      <vt:variant>
        <vt:i4>0</vt:i4>
      </vt:variant>
      <vt:variant>
        <vt:i4>5</vt:i4>
      </vt:variant>
      <vt:variant>
        <vt:lpwstr/>
      </vt:variant>
      <vt:variant>
        <vt:lpwstr>_Toc493082894</vt:lpwstr>
      </vt:variant>
      <vt:variant>
        <vt:i4>1376311</vt:i4>
      </vt:variant>
      <vt:variant>
        <vt:i4>1278</vt:i4>
      </vt:variant>
      <vt:variant>
        <vt:i4>0</vt:i4>
      </vt:variant>
      <vt:variant>
        <vt:i4>5</vt:i4>
      </vt:variant>
      <vt:variant>
        <vt:lpwstr/>
      </vt:variant>
      <vt:variant>
        <vt:lpwstr>_Toc493082893</vt:lpwstr>
      </vt:variant>
      <vt:variant>
        <vt:i4>1376311</vt:i4>
      </vt:variant>
      <vt:variant>
        <vt:i4>1272</vt:i4>
      </vt:variant>
      <vt:variant>
        <vt:i4>0</vt:i4>
      </vt:variant>
      <vt:variant>
        <vt:i4>5</vt:i4>
      </vt:variant>
      <vt:variant>
        <vt:lpwstr/>
      </vt:variant>
      <vt:variant>
        <vt:lpwstr>_Toc493082892</vt:lpwstr>
      </vt:variant>
      <vt:variant>
        <vt:i4>1376311</vt:i4>
      </vt:variant>
      <vt:variant>
        <vt:i4>1266</vt:i4>
      </vt:variant>
      <vt:variant>
        <vt:i4>0</vt:i4>
      </vt:variant>
      <vt:variant>
        <vt:i4>5</vt:i4>
      </vt:variant>
      <vt:variant>
        <vt:lpwstr/>
      </vt:variant>
      <vt:variant>
        <vt:lpwstr>_Toc493082891</vt:lpwstr>
      </vt:variant>
      <vt:variant>
        <vt:i4>1376311</vt:i4>
      </vt:variant>
      <vt:variant>
        <vt:i4>1260</vt:i4>
      </vt:variant>
      <vt:variant>
        <vt:i4>0</vt:i4>
      </vt:variant>
      <vt:variant>
        <vt:i4>5</vt:i4>
      </vt:variant>
      <vt:variant>
        <vt:lpwstr/>
      </vt:variant>
      <vt:variant>
        <vt:lpwstr>_Toc493082890</vt:lpwstr>
      </vt:variant>
      <vt:variant>
        <vt:i4>1310775</vt:i4>
      </vt:variant>
      <vt:variant>
        <vt:i4>1254</vt:i4>
      </vt:variant>
      <vt:variant>
        <vt:i4>0</vt:i4>
      </vt:variant>
      <vt:variant>
        <vt:i4>5</vt:i4>
      </vt:variant>
      <vt:variant>
        <vt:lpwstr/>
      </vt:variant>
      <vt:variant>
        <vt:lpwstr>_Toc493082889</vt:lpwstr>
      </vt:variant>
      <vt:variant>
        <vt:i4>1310775</vt:i4>
      </vt:variant>
      <vt:variant>
        <vt:i4>1248</vt:i4>
      </vt:variant>
      <vt:variant>
        <vt:i4>0</vt:i4>
      </vt:variant>
      <vt:variant>
        <vt:i4>5</vt:i4>
      </vt:variant>
      <vt:variant>
        <vt:lpwstr/>
      </vt:variant>
      <vt:variant>
        <vt:lpwstr>_Toc493082888</vt:lpwstr>
      </vt:variant>
      <vt:variant>
        <vt:i4>1310775</vt:i4>
      </vt:variant>
      <vt:variant>
        <vt:i4>1242</vt:i4>
      </vt:variant>
      <vt:variant>
        <vt:i4>0</vt:i4>
      </vt:variant>
      <vt:variant>
        <vt:i4>5</vt:i4>
      </vt:variant>
      <vt:variant>
        <vt:lpwstr/>
      </vt:variant>
      <vt:variant>
        <vt:lpwstr>_Toc493082887</vt:lpwstr>
      </vt:variant>
      <vt:variant>
        <vt:i4>1310775</vt:i4>
      </vt:variant>
      <vt:variant>
        <vt:i4>1236</vt:i4>
      </vt:variant>
      <vt:variant>
        <vt:i4>0</vt:i4>
      </vt:variant>
      <vt:variant>
        <vt:i4>5</vt:i4>
      </vt:variant>
      <vt:variant>
        <vt:lpwstr/>
      </vt:variant>
      <vt:variant>
        <vt:lpwstr>_Toc493082886</vt:lpwstr>
      </vt:variant>
      <vt:variant>
        <vt:i4>1310775</vt:i4>
      </vt:variant>
      <vt:variant>
        <vt:i4>1230</vt:i4>
      </vt:variant>
      <vt:variant>
        <vt:i4>0</vt:i4>
      </vt:variant>
      <vt:variant>
        <vt:i4>5</vt:i4>
      </vt:variant>
      <vt:variant>
        <vt:lpwstr/>
      </vt:variant>
      <vt:variant>
        <vt:lpwstr>_Toc493082885</vt:lpwstr>
      </vt:variant>
      <vt:variant>
        <vt:i4>1310775</vt:i4>
      </vt:variant>
      <vt:variant>
        <vt:i4>1224</vt:i4>
      </vt:variant>
      <vt:variant>
        <vt:i4>0</vt:i4>
      </vt:variant>
      <vt:variant>
        <vt:i4>5</vt:i4>
      </vt:variant>
      <vt:variant>
        <vt:lpwstr/>
      </vt:variant>
      <vt:variant>
        <vt:lpwstr>_Toc493082884</vt:lpwstr>
      </vt:variant>
      <vt:variant>
        <vt:i4>1310775</vt:i4>
      </vt:variant>
      <vt:variant>
        <vt:i4>1218</vt:i4>
      </vt:variant>
      <vt:variant>
        <vt:i4>0</vt:i4>
      </vt:variant>
      <vt:variant>
        <vt:i4>5</vt:i4>
      </vt:variant>
      <vt:variant>
        <vt:lpwstr/>
      </vt:variant>
      <vt:variant>
        <vt:lpwstr>_Toc493082883</vt:lpwstr>
      </vt:variant>
      <vt:variant>
        <vt:i4>1310775</vt:i4>
      </vt:variant>
      <vt:variant>
        <vt:i4>1212</vt:i4>
      </vt:variant>
      <vt:variant>
        <vt:i4>0</vt:i4>
      </vt:variant>
      <vt:variant>
        <vt:i4>5</vt:i4>
      </vt:variant>
      <vt:variant>
        <vt:lpwstr/>
      </vt:variant>
      <vt:variant>
        <vt:lpwstr>_Toc493082882</vt:lpwstr>
      </vt:variant>
      <vt:variant>
        <vt:i4>1310775</vt:i4>
      </vt:variant>
      <vt:variant>
        <vt:i4>1206</vt:i4>
      </vt:variant>
      <vt:variant>
        <vt:i4>0</vt:i4>
      </vt:variant>
      <vt:variant>
        <vt:i4>5</vt:i4>
      </vt:variant>
      <vt:variant>
        <vt:lpwstr/>
      </vt:variant>
      <vt:variant>
        <vt:lpwstr>_Toc493082881</vt:lpwstr>
      </vt:variant>
      <vt:variant>
        <vt:i4>1310775</vt:i4>
      </vt:variant>
      <vt:variant>
        <vt:i4>1200</vt:i4>
      </vt:variant>
      <vt:variant>
        <vt:i4>0</vt:i4>
      </vt:variant>
      <vt:variant>
        <vt:i4>5</vt:i4>
      </vt:variant>
      <vt:variant>
        <vt:lpwstr/>
      </vt:variant>
      <vt:variant>
        <vt:lpwstr>_Toc493082880</vt:lpwstr>
      </vt:variant>
      <vt:variant>
        <vt:i4>1769527</vt:i4>
      </vt:variant>
      <vt:variant>
        <vt:i4>1194</vt:i4>
      </vt:variant>
      <vt:variant>
        <vt:i4>0</vt:i4>
      </vt:variant>
      <vt:variant>
        <vt:i4>5</vt:i4>
      </vt:variant>
      <vt:variant>
        <vt:lpwstr/>
      </vt:variant>
      <vt:variant>
        <vt:lpwstr>_Toc493082879</vt:lpwstr>
      </vt:variant>
      <vt:variant>
        <vt:i4>1769527</vt:i4>
      </vt:variant>
      <vt:variant>
        <vt:i4>1188</vt:i4>
      </vt:variant>
      <vt:variant>
        <vt:i4>0</vt:i4>
      </vt:variant>
      <vt:variant>
        <vt:i4>5</vt:i4>
      </vt:variant>
      <vt:variant>
        <vt:lpwstr/>
      </vt:variant>
      <vt:variant>
        <vt:lpwstr>_Toc493082878</vt:lpwstr>
      </vt:variant>
      <vt:variant>
        <vt:i4>1769527</vt:i4>
      </vt:variant>
      <vt:variant>
        <vt:i4>1182</vt:i4>
      </vt:variant>
      <vt:variant>
        <vt:i4>0</vt:i4>
      </vt:variant>
      <vt:variant>
        <vt:i4>5</vt:i4>
      </vt:variant>
      <vt:variant>
        <vt:lpwstr/>
      </vt:variant>
      <vt:variant>
        <vt:lpwstr>_Toc493082877</vt:lpwstr>
      </vt:variant>
      <vt:variant>
        <vt:i4>1769527</vt:i4>
      </vt:variant>
      <vt:variant>
        <vt:i4>1176</vt:i4>
      </vt:variant>
      <vt:variant>
        <vt:i4>0</vt:i4>
      </vt:variant>
      <vt:variant>
        <vt:i4>5</vt:i4>
      </vt:variant>
      <vt:variant>
        <vt:lpwstr/>
      </vt:variant>
      <vt:variant>
        <vt:lpwstr>_Toc493082876</vt:lpwstr>
      </vt:variant>
      <vt:variant>
        <vt:i4>1769527</vt:i4>
      </vt:variant>
      <vt:variant>
        <vt:i4>1170</vt:i4>
      </vt:variant>
      <vt:variant>
        <vt:i4>0</vt:i4>
      </vt:variant>
      <vt:variant>
        <vt:i4>5</vt:i4>
      </vt:variant>
      <vt:variant>
        <vt:lpwstr/>
      </vt:variant>
      <vt:variant>
        <vt:lpwstr>_Toc493082875</vt:lpwstr>
      </vt:variant>
      <vt:variant>
        <vt:i4>1769527</vt:i4>
      </vt:variant>
      <vt:variant>
        <vt:i4>1164</vt:i4>
      </vt:variant>
      <vt:variant>
        <vt:i4>0</vt:i4>
      </vt:variant>
      <vt:variant>
        <vt:i4>5</vt:i4>
      </vt:variant>
      <vt:variant>
        <vt:lpwstr/>
      </vt:variant>
      <vt:variant>
        <vt:lpwstr>_Toc493082874</vt:lpwstr>
      </vt:variant>
      <vt:variant>
        <vt:i4>1769527</vt:i4>
      </vt:variant>
      <vt:variant>
        <vt:i4>1158</vt:i4>
      </vt:variant>
      <vt:variant>
        <vt:i4>0</vt:i4>
      </vt:variant>
      <vt:variant>
        <vt:i4>5</vt:i4>
      </vt:variant>
      <vt:variant>
        <vt:lpwstr/>
      </vt:variant>
      <vt:variant>
        <vt:lpwstr>_Toc493082873</vt:lpwstr>
      </vt:variant>
      <vt:variant>
        <vt:i4>1769527</vt:i4>
      </vt:variant>
      <vt:variant>
        <vt:i4>1152</vt:i4>
      </vt:variant>
      <vt:variant>
        <vt:i4>0</vt:i4>
      </vt:variant>
      <vt:variant>
        <vt:i4>5</vt:i4>
      </vt:variant>
      <vt:variant>
        <vt:lpwstr/>
      </vt:variant>
      <vt:variant>
        <vt:lpwstr>_Toc493082872</vt:lpwstr>
      </vt:variant>
      <vt:variant>
        <vt:i4>1769527</vt:i4>
      </vt:variant>
      <vt:variant>
        <vt:i4>1146</vt:i4>
      </vt:variant>
      <vt:variant>
        <vt:i4>0</vt:i4>
      </vt:variant>
      <vt:variant>
        <vt:i4>5</vt:i4>
      </vt:variant>
      <vt:variant>
        <vt:lpwstr/>
      </vt:variant>
      <vt:variant>
        <vt:lpwstr>_Toc493082871</vt:lpwstr>
      </vt:variant>
      <vt:variant>
        <vt:i4>1769527</vt:i4>
      </vt:variant>
      <vt:variant>
        <vt:i4>1140</vt:i4>
      </vt:variant>
      <vt:variant>
        <vt:i4>0</vt:i4>
      </vt:variant>
      <vt:variant>
        <vt:i4>5</vt:i4>
      </vt:variant>
      <vt:variant>
        <vt:lpwstr/>
      </vt:variant>
      <vt:variant>
        <vt:lpwstr>_Toc493082870</vt:lpwstr>
      </vt:variant>
      <vt:variant>
        <vt:i4>1703991</vt:i4>
      </vt:variant>
      <vt:variant>
        <vt:i4>1134</vt:i4>
      </vt:variant>
      <vt:variant>
        <vt:i4>0</vt:i4>
      </vt:variant>
      <vt:variant>
        <vt:i4>5</vt:i4>
      </vt:variant>
      <vt:variant>
        <vt:lpwstr/>
      </vt:variant>
      <vt:variant>
        <vt:lpwstr>_Toc493082869</vt:lpwstr>
      </vt:variant>
      <vt:variant>
        <vt:i4>1703991</vt:i4>
      </vt:variant>
      <vt:variant>
        <vt:i4>1128</vt:i4>
      </vt:variant>
      <vt:variant>
        <vt:i4>0</vt:i4>
      </vt:variant>
      <vt:variant>
        <vt:i4>5</vt:i4>
      </vt:variant>
      <vt:variant>
        <vt:lpwstr/>
      </vt:variant>
      <vt:variant>
        <vt:lpwstr>_Toc493082868</vt:lpwstr>
      </vt:variant>
      <vt:variant>
        <vt:i4>1703991</vt:i4>
      </vt:variant>
      <vt:variant>
        <vt:i4>1122</vt:i4>
      </vt:variant>
      <vt:variant>
        <vt:i4>0</vt:i4>
      </vt:variant>
      <vt:variant>
        <vt:i4>5</vt:i4>
      </vt:variant>
      <vt:variant>
        <vt:lpwstr/>
      </vt:variant>
      <vt:variant>
        <vt:lpwstr>_Toc493082867</vt:lpwstr>
      </vt:variant>
      <vt:variant>
        <vt:i4>1703991</vt:i4>
      </vt:variant>
      <vt:variant>
        <vt:i4>1116</vt:i4>
      </vt:variant>
      <vt:variant>
        <vt:i4>0</vt:i4>
      </vt:variant>
      <vt:variant>
        <vt:i4>5</vt:i4>
      </vt:variant>
      <vt:variant>
        <vt:lpwstr/>
      </vt:variant>
      <vt:variant>
        <vt:lpwstr>_Toc493082866</vt:lpwstr>
      </vt:variant>
      <vt:variant>
        <vt:i4>1703991</vt:i4>
      </vt:variant>
      <vt:variant>
        <vt:i4>1110</vt:i4>
      </vt:variant>
      <vt:variant>
        <vt:i4>0</vt:i4>
      </vt:variant>
      <vt:variant>
        <vt:i4>5</vt:i4>
      </vt:variant>
      <vt:variant>
        <vt:lpwstr/>
      </vt:variant>
      <vt:variant>
        <vt:lpwstr>_Toc493082865</vt:lpwstr>
      </vt:variant>
      <vt:variant>
        <vt:i4>1703991</vt:i4>
      </vt:variant>
      <vt:variant>
        <vt:i4>1104</vt:i4>
      </vt:variant>
      <vt:variant>
        <vt:i4>0</vt:i4>
      </vt:variant>
      <vt:variant>
        <vt:i4>5</vt:i4>
      </vt:variant>
      <vt:variant>
        <vt:lpwstr/>
      </vt:variant>
      <vt:variant>
        <vt:lpwstr>_Toc493082864</vt:lpwstr>
      </vt:variant>
      <vt:variant>
        <vt:i4>1703991</vt:i4>
      </vt:variant>
      <vt:variant>
        <vt:i4>1098</vt:i4>
      </vt:variant>
      <vt:variant>
        <vt:i4>0</vt:i4>
      </vt:variant>
      <vt:variant>
        <vt:i4>5</vt:i4>
      </vt:variant>
      <vt:variant>
        <vt:lpwstr/>
      </vt:variant>
      <vt:variant>
        <vt:lpwstr>_Toc493082863</vt:lpwstr>
      </vt:variant>
      <vt:variant>
        <vt:i4>1703991</vt:i4>
      </vt:variant>
      <vt:variant>
        <vt:i4>1092</vt:i4>
      </vt:variant>
      <vt:variant>
        <vt:i4>0</vt:i4>
      </vt:variant>
      <vt:variant>
        <vt:i4>5</vt:i4>
      </vt:variant>
      <vt:variant>
        <vt:lpwstr/>
      </vt:variant>
      <vt:variant>
        <vt:lpwstr>_Toc493082862</vt:lpwstr>
      </vt:variant>
      <vt:variant>
        <vt:i4>1703991</vt:i4>
      </vt:variant>
      <vt:variant>
        <vt:i4>1086</vt:i4>
      </vt:variant>
      <vt:variant>
        <vt:i4>0</vt:i4>
      </vt:variant>
      <vt:variant>
        <vt:i4>5</vt:i4>
      </vt:variant>
      <vt:variant>
        <vt:lpwstr/>
      </vt:variant>
      <vt:variant>
        <vt:lpwstr>_Toc493082861</vt:lpwstr>
      </vt:variant>
      <vt:variant>
        <vt:i4>1703991</vt:i4>
      </vt:variant>
      <vt:variant>
        <vt:i4>1080</vt:i4>
      </vt:variant>
      <vt:variant>
        <vt:i4>0</vt:i4>
      </vt:variant>
      <vt:variant>
        <vt:i4>5</vt:i4>
      </vt:variant>
      <vt:variant>
        <vt:lpwstr/>
      </vt:variant>
      <vt:variant>
        <vt:lpwstr>_Toc493082860</vt:lpwstr>
      </vt:variant>
      <vt:variant>
        <vt:i4>1638455</vt:i4>
      </vt:variant>
      <vt:variant>
        <vt:i4>1074</vt:i4>
      </vt:variant>
      <vt:variant>
        <vt:i4>0</vt:i4>
      </vt:variant>
      <vt:variant>
        <vt:i4>5</vt:i4>
      </vt:variant>
      <vt:variant>
        <vt:lpwstr/>
      </vt:variant>
      <vt:variant>
        <vt:lpwstr>_Toc493082859</vt:lpwstr>
      </vt:variant>
      <vt:variant>
        <vt:i4>1638455</vt:i4>
      </vt:variant>
      <vt:variant>
        <vt:i4>1068</vt:i4>
      </vt:variant>
      <vt:variant>
        <vt:i4>0</vt:i4>
      </vt:variant>
      <vt:variant>
        <vt:i4>5</vt:i4>
      </vt:variant>
      <vt:variant>
        <vt:lpwstr/>
      </vt:variant>
      <vt:variant>
        <vt:lpwstr>_Toc493082858</vt:lpwstr>
      </vt:variant>
      <vt:variant>
        <vt:i4>1638455</vt:i4>
      </vt:variant>
      <vt:variant>
        <vt:i4>1062</vt:i4>
      </vt:variant>
      <vt:variant>
        <vt:i4>0</vt:i4>
      </vt:variant>
      <vt:variant>
        <vt:i4>5</vt:i4>
      </vt:variant>
      <vt:variant>
        <vt:lpwstr/>
      </vt:variant>
      <vt:variant>
        <vt:lpwstr>_Toc493082857</vt:lpwstr>
      </vt:variant>
      <vt:variant>
        <vt:i4>1638455</vt:i4>
      </vt:variant>
      <vt:variant>
        <vt:i4>1056</vt:i4>
      </vt:variant>
      <vt:variant>
        <vt:i4>0</vt:i4>
      </vt:variant>
      <vt:variant>
        <vt:i4>5</vt:i4>
      </vt:variant>
      <vt:variant>
        <vt:lpwstr/>
      </vt:variant>
      <vt:variant>
        <vt:lpwstr>_Toc493082856</vt:lpwstr>
      </vt:variant>
      <vt:variant>
        <vt:i4>1638455</vt:i4>
      </vt:variant>
      <vt:variant>
        <vt:i4>1050</vt:i4>
      </vt:variant>
      <vt:variant>
        <vt:i4>0</vt:i4>
      </vt:variant>
      <vt:variant>
        <vt:i4>5</vt:i4>
      </vt:variant>
      <vt:variant>
        <vt:lpwstr/>
      </vt:variant>
      <vt:variant>
        <vt:lpwstr>_Toc493082855</vt:lpwstr>
      </vt:variant>
      <vt:variant>
        <vt:i4>1638455</vt:i4>
      </vt:variant>
      <vt:variant>
        <vt:i4>1044</vt:i4>
      </vt:variant>
      <vt:variant>
        <vt:i4>0</vt:i4>
      </vt:variant>
      <vt:variant>
        <vt:i4>5</vt:i4>
      </vt:variant>
      <vt:variant>
        <vt:lpwstr/>
      </vt:variant>
      <vt:variant>
        <vt:lpwstr>_Toc493082854</vt:lpwstr>
      </vt:variant>
      <vt:variant>
        <vt:i4>1638455</vt:i4>
      </vt:variant>
      <vt:variant>
        <vt:i4>1038</vt:i4>
      </vt:variant>
      <vt:variant>
        <vt:i4>0</vt:i4>
      </vt:variant>
      <vt:variant>
        <vt:i4>5</vt:i4>
      </vt:variant>
      <vt:variant>
        <vt:lpwstr/>
      </vt:variant>
      <vt:variant>
        <vt:lpwstr>_Toc493082853</vt:lpwstr>
      </vt:variant>
      <vt:variant>
        <vt:i4>1638455</vt:i4>
      </vt:variant>
      <vt:variant>
        <vt:i4>1032</vt:i4>
      </vt:variant>
      <vt:variant>
        <vt:i4>0</vt:i4>
      </vt:variant>
      <vt:variant>
        <vt:i4>5</vt:i4>
      </vt:variant>
      <vt:variant>
        <vt:lpwstr/>
      </vt:variant>
      <vt:variant>
        <vt:lpwstr>_Toc493082852</vt:lpwstr>
      </vt:variant>
      <vt:variant>
        <vt:i4>1638455</vt:i4>
      </vt:variant>
      <vt:variant>
        <vt:i4>1026</vt:i4>
      </vt:variant>
      <vt:variant>
        <vt:i4>0</vt:i4>
      </vt:variant>
      <vt:variant>
        <vt:i4>5</vt:i4>
      </vt:variant>
      <vt:variant>
        <vt:lpwstr/>
      </vt:variant>
      <vt:variant>
        <vt:lpwstr>_Toc493082851</vt:lpwstr>
      </vt:variant>
      <vt:variant>
        <vt:i4>1638455</vt:i4>
      </vt:variant>
      <vt:variant>
        <vt:i4>1020</vt:i4>
      </vt:variant>
      <vt:variant>
        <vt:i4>0</vt:i4>
      </vt:variant>
      <vt:variant>
        <vt:i4>5</vt:i4>
      </vt:variant>
      <vt:variant>
        <vt:lpwstr/>
      </vt:variant>
      <vt:variant>
        <vt:lpwstr>_Toc493082850</vt:lpwstr>
      </vt:variant>
      <vt:variant>
        <vt:i4>1572919</vt:i4>
      </vt:variant>
      <vt:variant>
        <vt:i4>1014</vt:i4>
      </vt:variant>
      <vt:variant>
        <vt:i4>0</vt:i4>
      </vt:variant>
      <vt:variant>
        <vt:i4>5</vt:i4>
      </vt:variant>
      <vt:variant>
        <vt:lpwstr/>
      </vt:variant>
      <vt:variant>
        <vt:lpwstr>_Toc493082849</vt:lpwstr>
      </vt:variant>
      <vt:variant>
        <vt:i4>1572919</vt:i4>
      </vt:variant>
      <vt:variant>
        <vt:i4>1008</vt:i4>
      </vt:variant>
      <vt:variant>
        <vt:i4>0</vt:i4>
      </vt:variant>
      <vt:variant>
        <vt:i4>5</vt:i4>
      </vt:variant>
      <vt:variant>
        <vt:lpwstr/>
      </vt:variant>
      <vt:variant>
        <vt:lpwstr>_Toc493082848</vt:lpwstr>
      </vt:variant>
      <vt:variant>
        <vt:i4>1572919</vt:i4>
      </vt:variant>
      <vt:variant>
        <vt:i4>1002</vt:i4>
      </vt:variant>
      <vt:variant>
        <vt:i4>0</vt:i4>
      </vt:variant>
      <vt:variant>
        <vt:i4>5</vt:i4>
      </vt:variant>
      <vt:variant>
        <vt:lpwstr/>
      </vt:variant>
      <vt:variant>
        <vt:lpwstr>_Toc493082847</vt:lpwstr>
      </vt:variant>
      <vt:variant>
        <vt:i4>1572919</vt:i4>
      </vt:variant>
      <vt:variant>
        <vt:i4>996</vt:i4>
      </vt:variant>
      <vt:variant>
        <vt:i4>0</vt:i4>
      </vt:variant>
      <vt:variant>
        <vt:i4>5</vt:i4>
      </vt:variant>
      <vt:variant>
        <vt:lpwstr/>
      </vt:variant>
      <vt:variant>
        <vt:lpwstr>_Toc493082846</vt:lpwstr>
      </vt:variant>
      <vt:variant>
        <vt:i4>1572919</vt:i4>
      </vt:variant>
      <vt:variant>
        <vt:i4>990</vt:i4>
      </vt:variant>
      <vt:variant>
        <vt:i4>0</vt:i4>
      </vt:variant>
      <vt:variant>
        <vt:i4>5</vt:i4>
      </vt:variant>
      <vt:variant>
        <vt:lpwstr/>
      </vt:variant>
      <vt:variant>
        <vt:lpwstr>_Toc493082845</vt:lpwstr>
      </vt:variant>
      <vt:variant>
        <vt:i4>1572919</vt:i4>
      </vt:variant>
      <vt:variant>
        <vt:i4>984</vt:i4>
      </vt:variant>
      <vt:variant>
        <vt:i4>0</vt:i4>
      </vt:variant>
      <vt:variant>
        <vt:i4>5</vt:i4>
      </vt:variant>
      <vt:variant>
        <vt:lpwstr/>
      </vt:variant>
      <vt:variant>
        <vt:lpwstr>_Toc493082844</vt:lpwstr>
      </vt:variant>
      <vt:variant>
        <vt:i4>1572919</vt:i4>
      </vt:variant>
      <vt:variant>
        <vt:i4>978</vt:i4>
      </vt:variant>
      <vt:variant>
        <vt:i4>0</vt:i4>
      </vt:variant>
      <vt:variant>
        <vt:i4>5</vt:i4>
      </vt:variant>
      <vt:variant>
        <vt:lpwstr/>
      </vt:variant>
      <vt:variant>
        <vt:lpwstr>_Toc493082843</vt:lpwstr>
      </vt:variant>
      <vt:variant>
        <vt:i4>1572919</vt:i4>
      </vt:variant>
      <vt:variant>
        <vt:i4>972</vt:i4>
      </vt:variant>
      <vt:variant>
        <vt:i4>0</vt:i4>
      </vt:variant>
      <vt:variant>
        <vt:i4>5</vt:i4>
      </vt:variant>
      <vt:variant>
        <vt:lpwstr/>
      </vt:variant>
      <vt:variant>
        <vt:lpwstr>_Toc493082842</vt:lpwstr>
      </vt:variant>
      <vt:variant>
        <vt:i4>1572919</vt:i4>
      </vt:variant>
      <vt:variant>
        <vt:i4>966</vt:i4>
      </vt:variant>
      <vt:variant>
        <vt:i4>0</vt:i4>
      </vt:variant>
      <vt:variant>
        <vt:i4>5</vt:i4>
      </vt:variant>
      <vt:variant>
        <vt:lpwstr/>
      </vt:variant>
      <vt:variant>
        <vt:lpwstr>_Toc493082841</vt:lpwstr>
      </vt:variant>
      <vt:variant>
        <vt:i4>1572919</vt:i4>
      </vt:variant>
      <vt:variant>
        <vt:i4>960</vt:i4>
      </vt:variant>
      <vt:variant>
        <vt:i4>0</vt:i4>
      </vt:variant>
      <vt:variant>
        <vt:i4>5</vt:i4>
      </vt:variant>
      <vt:variant>
        <vt:lpwstr/>
      </vt:variant>
      <vt:variant>
        <vt:lpwstr>_Toc493082840</vt:lpwstr>
      </vt:variant>
      <vt:variant>
        <vt:i4>2031671</vt:i4>
      </vt:variant>
      <vt:variant>
        <vt:i4>954</vt:i4>
      </vt:variant>
      <vt:variant>
        <vt:i4>0</vt:i4>
      </vt:variant>
      <vt:variant>
        <vt:i4>5</vt:i4>
      </vt:variant>
      <vt:variant>
        <vt:lpwstr/>
      </vt:variant>
      <vt:variant>
        <vt:lpwstr>_Toc493082839</vt:lpwstr>
      </vt:variant>
      <vt:variant>
        <vt:i4>2031671</vt:i4>
      </vt:variant>
      <vt:variant>
        <vt:i4>948</vt:i4>
      </vt:variant>
      <vt:variant>
        <vt:i4>0</vt:i4>
      </vt:variant>
      <vt:variant>
        <vt:i4>5</vt:i4>
      </vt:variant>
      <vt:variant>
        <vt:lpwstr/>
      </vt:variant>
      <vt:variant>
        <vt:lpwstr>_Toc493082838</vt:lpwstr>
      </vt:variant>
      <vt:variant>
        <vt:i4>2031671</vt:i4>
      </vt:variant>
      <vt:variant>
        <vt:i4>942</vt:i4>
      </vt:variant>
      <vt:variant>
        <vt:i4>0</vt:i4>
      </vt:variant>
      <vt:variant>
        <vt:i4>5</vt:i4>
      </vt:variant>
      <vt:variant>
        <vt:lpwstr/>
      </vt:variant>
      <vt:variant>
        <vt:lpwstr>_Toc493082837</vt:lpwstr>
      </vt:variant>
      <vt:variant>
        <vt:i4>2031671</vt:i4>
      </vt:variant>
      <vt:variant>
        <vt:i4>936</vt:i4>
      </vt:variant>
      <vt:variant>
        <vt:i4>0</vt:i4>
      </vt:variant>
      <vt:variant>
        <vt:i4>5</vt:i4>
      </vt:variant>
      <vt:variant>
        <vt:lpwstr/>
      </vt:variant>
      <vt:variant>
        <vt:lpwstr>_Toc493082836</vt:lpwstr>
      </vt:variant>
      <vt:variant>
        <vt:i4>2031671</vt:i4>
      </vt:variant>
      <vt:variant>
        <vt:i4>930</vt:i4>
      </vt:variant>
      <vt:variant>
        <vt:i4>0</vt:i4>
      </vt:variant>
      <vt:variant>
        <vt:i4>5</vt:i4>
      </vt:variant>
      <vt:variant>
        <vt:lpwstr/>
      </vt:variant>
      <vt:variant>
        <vt:lpwstr>_Toc493082835</vt:lpwstr>
      </vt:variant>
      <vt:variant>
        <vt:i4>2031671</vt:i4>
      </vt:variant>
      <vt:variant>
        <vt:i4>924</vt:i4>
      </vt:variant>
      <vt:variant>
        <vt:i4>0</vt:i4>
      </vt:variant>
      <vt:variant>
        <vt:i4>5</vt:i4>
      </vt:variant>
      <vt:variant>
        <vt:lpwstr/>
      </vt:variant>
      <vt:variant>
        <vt:lpwstr>_Toc493082834</vt:lpwstr>
      </vt:variant>
      <vt:variant>
        <vt:i4>2031671</vt:i4>
      </vt:variant>
      <vt:variant>
        <vt:i4>918</vt:i4>
      </vt:variant>
      <vt:variant>
        <vt:i4>0</vt:i4>
      </vt:variant>
      <vt:variant>
        <vt:i4>5</vt:i4>
      </vt:variant>
      <vt:variant>
        <vt:lpwstr/>
      </vt:variant>
      <vt:variant>
        <vt:lpwstr>_Toc493082833</vt:lpwstr>
      </vt:variant>
      <vt:variant>
        <vt:i4>2031671</vt:i4>
      </vt:variant>
      <vt:variant>
        <vt:i4>912</vt:i4>
      </vt:variant>
      <vt:variant>
        <vt:i4>0</vt:i4>
      </vt:variant>
      <vt:variant>
        <vt:i4>5</vt:i4>
      </vt:variant>
      <vt:variant>
        <vt:lpwstr/>
      </vt:variant>
      <vt:variant>
        <vt:lpwstr>_Toc493082832</vt:lpwstr>
      </vt:variant>
      <vt:variant>
        <vt:i4>2031671</vt:i4>
      </vt:variant>
      <vt:variant>
        <vt:i4>906</vt:i4>
      </vt:variant>
      <vt:variant>
        <vt:i4>0</vt:i4>
      </vt:variant>
      <vt:variant>
        <vt:i4>5</vt:i4>
      </vt:variant>
      <vt:variant>
        <vt:lpwstr/>
      </vt:variant>
      <vt:variant>
        <vt:lpwstr>_Toc493082831</vt:lpwstr>
      </vt:variant>
      <vt:variant>
        <vt:i4>2031671</vt:i4>
      </vt:variant>
      <vt:variant>
        <vt:i4>900</vt:i4>
      </vt:variant>
      <vt:variant>
        <vt:i4>0</vt:i4>
      </vt:variant>
      <vt:variant>
        <vt:i4>5</vt:i4>
      </vt:variant>
      <vt:variant>
        <vt:lpwstr/>
      </vt:variant>
      <vt:variant>
        <vt:lpwstr>_Toc493082830</vt:lpwstr>
      </vt:variant>
      <vt:variant>
        <vt:i4>1966135</vt:i4>
      </vt:variant>
      <vt:variant>
        <vt:i4>894</vt:i4>
      </vt:variant>
      <vt:variant>
        <vt:i4>0</vt:i4>
      </vt:variant>
      <vt:variant>
        <vt:i4>5</vt:i4>
      </vt:variant>
      <vt:variant>
        <vt:lpwstr/>
      </vt:variant>
      <vt:variant>
        <vt:lpwstr>_Toc493082829</vt:lpwstr>
      </vt:variant>
      <vt:variant>
        <vt:i4>1966135</vt:i4>
      </vt:variant>
      <vt:variant>
        <vt:i4>888</vt:i4>
      </vt:variant>
      <vt:variant>
        <vt:i4>0</vt:i4>
      </vt:variant>
      <vt:variant>
        <vt:i4>5</vt:i4>
      </vt:variant>
      <vt:variant>
        <vt:lpwstr/>
      </vt:variant>
      <vt:variant>
        <vt:lpwstr>_Toc493082828</vt:lpwstr>
      </vt:variant>
      <vt:variant>
        <vt:i4>1966135</vt:i4>
      </vt:variant>
      <vt:variant>
        <vt:i4>882</vt:i4>
      </vt:variant>
      <vt:variant>
        <vt:i4>0</vt:i4>
      </vt:variant>
      <vt:variant>
        <vt:i4>5</vt:i4>
      </vt:variant>
      <vt:variant>
        <vt:lpwstr/>
      </vt:variant>
      <vt:variant>
        <vt:lpwstr>_Toc493082827</vt:lpwstr>
      </vt:variant>
      <vt:variant>
        <vt:i4>1966135</vt:i4>
      </vt:variant>
      <vt:variant>
        <vt:i4>876</vt:i4>
      </vt:variant>
      <vt:variant>
        <vt:i4>0</vt:i4>
      </vt:variant>
      <vt:variant>
        <vt:i4>5</vt:i4>
      </vt:variant>
      <vt:variant>
        <vt:lpwstr/>
      </vt:variant>
      <vt:variant>
        <vt:lpwstr>_Toc493082826</vt:lpwstr>
      </vt:variant>
      <vt:variant>
        <vt:i4>1966135</vt:i4>
      </vt:variant>
      <vt:variant>
        <vt:i4>870</vt:i4>
      </vt:variant>
      <vt:variant>
        <vt:i4>0</vt:i4>
      </vt:variant>
      <vt:variant>
        <vt:i4>5</vt:i4>
      </vt:variant>
      <vt:variant>
        <vt:lpwstr/>
      </vt:variant>
      <vt:variant>
        <vt:lpwstr>_Toc493082825</vt:lpwstr>
      </vt:variant>
      <vt:variant>
        <vt:i4>1966135</vt:i4>
      </vt:variant>
      <vt:variant>
        <vt:i4>864</vt:i4>
      </vt:variant>
      <vt:variant>
        <vt:i4>0</vt:i4>
      </vt:variant>
      <vt:variant>
        <vt:i4>5</vt:i4>
      </vt:variant>
      <vt:variant>
        <vt:lpwstr/>
      </vt:variant>
      <vt:variant>
        <vt:lpwstr>_Toc493082824</vt:lpwstr>
      </vt:variant>
      <vt:variant>
        <vt:i4>1966135</vt:i4>
      </vt:variant>
      <vt:variant>
        <vt:i4>858</vt:i4>
      </vt:variant>
      <vt:variant>
        <vt:i4>0</vt:i4>
      </vt:variant>
      <vt:variant>
        <vt:i4>5</vt:i4>
      </vt:variant>
      <vt:variant>
        <vt:lpwstr/>
      </vt:variant>
      <vt:variant>
        <vt:lpwstr>_Toc493082823</vt:lpwstr>
      </vt:variant>
      <vt:variant>
        <vt:i4>1966135</vt:i4>
      </vt:variant>
      <vt:variant>
        <vt:i4>852</vt:i4>
      </vt:variant>
      <vt:variant>
        <vt:i4>0</vt:i4>
      </vt:variant>
      <vt:variant>
        <vt:i4>5</vt:i4>
      </vt:variant>
      <vt:variant>
        <vt:lpwstr/>
      </vt:variant>
      <vt:variant>
        <vt:lpwstr>_Toc493082822</vt:lpwstr>
      </vt:variant>
      <vt:variant>
        <vt:i4>1966135</vt:i4>
      </vt:variant>
      <vt:variant>
        <vt:i4>846</vt:i4>
      </vt:variant>
      <vt:variant>
        <vt:i4>0</vt:i4>
      </vt:variant>
      <vt:variant>
        <vt:i4>5</vt:i4>
      </vt:variant>
      <vt:variant>
        <vt:lpwstr/>
      </vt:variant>
      <vt:variant>
        <vt:lpwstr>_Toc493082821</vt:lpwstr>
      </vt:variant>
      <vt:variant>
        <vt:i4>1966135</vt:i4>
      </vt:variant>
      <vt:variant>
        <vt:i4>840</vt:i4>
      </vt:variant>
      <vt:variant>
        <vt:i4>0</vt:i4>
      </vt:variant>
      <vt:variant>
        <vt:i4>5</vt:i4>
      </vt:variant>
      <vt:variant>
        <vt:lpwstr/>
      </vt:variant>
      <vt:variant>
        <vt:lpwstr>_Toc493082820</vt:lpwstr>
      </vt:variant>
      <vt:variant>
        <vt:i4>1900599</vt:i4>
      </vt:variant>
      <vt:variant>
        <vt:i4>834</vt:i4>
      </vt:variant>
      <vt:variant>
        <vt:i4>0</vt:i4>
      </vt:variant>
      <vt:variant>
        <vt:i4>5</vt:i4>
      </vt:variant>
      <vt:variant>
        <vt:lpwstr/>
      </vt:variant>
      <vt:variant>
        <vt:lpwstr>_Toc493082819</vt:lpwstr>
      </vt:variant>
      <vt:variant>
        <vt:i4>1900599</vt:i4>
      </vt:variant>
      <vt:variant>
        <vt:i4>828</vt:i4>
      </vt:variant>
      <vt:variant>
        <vt:i4>0</vt:i4>
      </vt:variant>
      <vt:variant>
        <vt:i4>5</vt:i4>
      </vt:variant>
      <vt:variant>
        <vt:lpwstr/>
      </vt:variant>
      <vt:variant>
        <vt:lpwstr>_Toc493082818</vt:lpwstr>
      </vt:variant>
      <vt:variant>
        <vt:i4>1900599</vt:i4>
      </vt:variant>
      <vt:variant>
        <vt:i4>822</vt:i4>
      </vt:variant>
      <vt:variant>
        <vt:i4>0</vt:i4>
      </vt:variant>
      <vt:variant>
        <vt:i4>5</vt:i4>
      </vt:variant>
      <vt:variant>
        <vt:lpwstr/>
      </vt:variant>
      <vt:variant>
        <vt:lpwstr>_Toc493082817</vt:lpwstr>
      </vt:variant>
      <vt:variant>
        <vt:i4>1900599</vt:i4>
      </vt:variant>
      <vt:variant>
        <vt:i4>816</vt:i4>
      </vt:variant>
      <vt:variant>
        <vt:i4>0</vt:i4>
      </vt:variant>
      <vt:variant>
        <vt:i4>5</vt:i4>
      </vt:variant>
      <vt:variant>
        <vt:lpwstr/>
      </vt:variant>
      <vt:variant>
        <vt:lpwstr>_Toc493082816</vt:lpwstr>
      </vt:variant>
      <vt:variant>
        <vt:i4>1900599</vt:i4>
      </vt:variant>
      <vt:variant>
        <vt:i4>810</vt:i4>
      </vt:variant>
      <vt:variant>
        <vt:i4>0</vt:i4>
      </vt:variant>
      <vt:variant>
        <vt:i4>5</vt:i4>
      </vt:variant>
      <vt:variant>
        <vt:lpwstr/>
      </vt:variant>
      <vt:variant>
        <vt:lpwstr>_Toc493082815</vt:lpwstr>
      </vt:variant>
      <vt:variant>
        <vt:i4>1900599</vt:i4>
      </vt:variant>
      <vt:variant>
        <vt:i4>804</vt:i4>
      </vt:variant>
      <vt:variant>
        <vt:i4>0</vt:i4>
      </vt:variant>
      <vt:variant>
        <vt:i4>5</vt:i4>
      </vt:variant>
      <vt:variant>
        <vt:lpwstr/>
      </vt:variant>
      <vt:variant>
        <vt:lpwstr>_Toc493082814</vt:lpwstr>
      </vt:variant>
      <vt:variant>
        <vt:i4>1900599</vt:i4>
      </vt:variant>
      <vt:variant>
        <vt:i4>798</vt:i4>
      </vt:variant>
      <vt:variant>
        <vt:i4>0</vt:i4>
      </vt:variant>
      <vt:variant>
        <vt:i4>5</vt:i4>
      </vt:variant>
      <vt:variant>
        <vt:lpwstr/>
      </vt:variant>
      <vt:variant>
        <vt:lpwstr>_Toc493082813</vt:lpwstr>
      </vt:variant>
      <vt:variant>
        <vt:i4>1900599</vt:i4>
      </vt:variant>
      <vt:variant>
        <vt:i4>792</vt:i4>
      </vt:variant>
      <vt:variant>
        <vt:i4>0</vt:i4>
      </vt:variant>
      <vt:variant>
        <vt:i4>5</vt:i4>
      </vt:variant>
      <vt:variant>
        <vt:lpwstr/>
      </vt:variant>
      <vt:variant>
        <vt:lpwstr>_Toc493082812</vt:lpwstr>
      </vt:variant>
      <vt:variant>
        <vt:i4>1900599</vt:i4>
      </vt:variant>
      <vt:variant>
        <vt:i4>786</vt:i4>
      </vt:variant>
      <vt:variant>
        <vt:i4>0</vt:i4>
      </vt:variant>
      <vt:variant>
        <vt:i4>5</vt:i4>
      </vt:variant>
      <vt:variant>
        <vt:lpwstr/>
      </vt:variant>
      <vt:variant>
        <vt:lpwstr>_Toc493082811</vt:lpwstr>
      </vt:variant>
      <vt:variant>
        <vt:i4>1900599</vt:i4>
      </vt:variant>
      <vt:variant>
        <vt:i4>780</vt:i4>
      </vt:variant>
      <vt:variant>
        <vt:i4>0</vt:i4>
      </vt:variant>
      <vt:variant>
        <vt:i4>5</vt:i4>
      </vt:variant>
      <vt:variant>
        <vt:lpwstr/>
      </vt:variant>
      <vt:variant>
        <vt:lpwstr>_Toc493082810</vt:lpwstr>
      </vt:variant>
      <vt:variant>
        <vt:i4>1835063</vt:i4>
      </vt:variant>
      <vt:variant>
        <vt:i4>774</vt:i4>
      </vt:variant>
      <vt:variant>
        <vt:i4>0</vt:i4>
      </vt:variant>
      <vt:variant>
        <vt:i4>5</vt:i4>
      </vt:variant>
      <vt:variant>
        <vt:lpwstr/>
      </vt:variant>
      <vt:variant>
        <vt:lpwstr>_Toc493082809</vt:lpwstr>
      </vt:variant>
      <vt:variant>
        <vt:i4>1835063</vt:i4>
      </vt:variant>
      <vt:variant>
        <vt:i4>768</vt:i4>
      </vt:variant>
      <vt:variant>
        <vt:i4>0</vt:i4>
      </vt:variant>
      <vt:variant>
        <vt:i4>5</vt:i4>
      </vt:variant>
      <vt:variant>
        <vt:lpwstr/>
      </vt:variant>
      <vt:variant>
        <vt:lpwstr>_Toc493082808</vt:lpwstr>
      </vt:variant>
      <vt:variant>
        <vt:i4>1835063</vt:i4>
      </vt:variant>
      <vt:variant>
        <vt:i4>762</vt:i4>
      </vt:variant>
      <vt:variant>
        <vt:i4>0</vt:i4>
      </vt:variant>
      <vt:variant>
        <vt:i4>5</vt:i4>
      </vt:variant>
      <vt:variant>
        <vt:lpwstr/>
      </vt:variant>
      <vt:variant>
        <vt:lpwstr>_Toc493082807</vt:lpwstr>
      </vt:variant>
      <vt:variant>
        <vt:i4>1835063</vt:i4>
      </vt:variant>
      <vt:variant>
        <vt:i4>756</vt:i4>
      </vt:variant>
      <vt:variant>
        <vt:i4>0</vt:i4>
      </vt:variant>
      <vt:variant>
        <vt:i4>5</vt:i4>
      </vt:variant>
      <vt:variant>
        <vt:lpwstr/>
      </vt:variant>
      <vt:variant>
        <vt:lpwstr>_Toc493082806</vt:lpwstr>
      </vt:variant>
      <vt:variant>
        <vt:i4>1835063</vt:i4>
      </vt:variant>
      <vt:variant>
        <vt:i4>750</vt:i4>
      </vt:variant>
      <vt:variant>
        <vt:i4>0</vt:i4>
      </vt:variant>
      <vt:variant>
        <vt:i4>5</vt:i4>
      </vt:variant>
      <vt:variant>
        <vt:lpwstr/>
      </vt:variant>
      <vt:variant>
        <vt:lpwstr>_Toc493082805</vt:lpwstr>
      </vt:variant>
      <vt:variant>
        <vt:i4>1835063</vt:i4>
      </vt:variant>
      <vt:variant>
        <vt:i4>744</vt:i4>
      </vt:variant>
      <vt:variant>
        <vt:i4>0</vt:i4>
      </vt:variant>
      <vt:variant>
        <vt:i4>5</vt:i4>
      </vt:variant>
      <vt:variant>
        <vt:lpwstr/>
      </vt:variant>
      <vt:variant>
        <vt:lpwstr>_Toc493082804</vt:lpwstr>
      </vt:variant>
      <vt:variant>
        <vt:i4>1835063</vt:i4>
      </vt:variant>
      <vt:variant>
        <vt:i4>738</vt:i4>
      </vt:variant>
      <vt:variant>
        <vt:i4>0</vt:i4>
      </vt:variant>
      <vt:variant>
        <vt:i4>5</vt:i4>
      </vt:variant>
      <vt:variant>
        <vt:lpwstr/>
      </vt:variant>
      <vt:variant>
        <vt:lpwstr>_Toc493082803</vt:lpwstr>
      </vt:variant>
      <vt:variant>
        <vt:i4>1835063</vt:i4>
      </vt:variant>
      <vt:variant>
        <vt:i4>732</vt:i4>
      </vt:variant>
      <vt:variant>
        <vt:i4>0</vt:i4>
      </vt:variant>
      <vt:variant>
        <vt:i4>5</vt:i4>
      </vt:variant>
      <vt:variant>
        <vt:lpwstr/>
      </vt:variant>
      <vt:variant>
        <vt:lpwstr>_Toc493082802</vt:lpwstr>
      </vt:variant>
      <vt:variant>
        <vt:i4>1835063</vt:i4>
      </vt:variant>
      <vt:variant>
        <vt:i4>726</vt:i4>
      </vt:variant>
      <vt:variant>
        <vt:i4>0</vt:i4>
      </vt:variant>
      <vt:variant>
        <vt:i4>5</vt:i4>
      </vt:variant>
      <vt:variant>
        <vt:lpwstr/>
      </vt:variant>
      <vt:variant>
        <vt:lpwstr>_Toc493082801</vt:lpwstr>
      </vt:variant>
      <vt:variant>
        <vt:i4>1835063</vt:i4>
      </vt:variant>
      <vt:variant>
        <vt:i4>720</vt:i4>
      </vt:variant>
      <vt:variant>
        <vt:i4>0</vt:i4>
      </vt:variant>
      <vt:variant>
        <vt:i4>5</vt:i4>
      </vt:variant>
      <vt:variant>
        <vt:lpwstr/>
      </vt:variant>
      <vt:variant>
        <vt:lpwstr>_Toc493082800</vt:lpwstr>
      </vt:variant>
      <vt:variant>
        <vt:i4>1376312</vt:i4>
      </vt:variant>
      <vt:variant>
        <vt:i4>714</vt:i4>
      </vt:variant>
      <vt:variant>
        <vt:i4>0</vt:i4>
      </vt:variant>
      <vt:variant>
        <vt:i4>5</vt:i4>
      </vt:variant>
      <vt:variant>
        <vt:lpwstr/>
      </vt:variant>
      <vt:variant>
        <vt:lpwstr>_Toc493082799</vt:lpwstr>
      </vt:variant>
      <vt:variant>
        <vt:i4>1376312</vt:i4>
      </vt:variant>
      <vt:variant>
        <vt:i4>708</vt:i4>
      </vt:variant>
      <vt:variant>
        <vt:i4>0</vt:i4>
      </vt:variant>
      <vt:variant>
        <vt:i4>5</vt:i4>
      </vt:variant>
      <vt:variant>
        <vt:lpwstr/>
      </vt:variant>
      <vt:variant>
        <vt:lpwstr>_Toc493082798</vt:lpwstr>
      </vt:variant>
      <vt:variant>
        <vt:i4>1376312</vt:i4>
      </vt:variant>
      <vt:variant>
        <vt:i4>702</vt:i4>
      </vt:variant>
      <vt:variant>
        <vt:i4>0</vt:i4>
      </vt:variant>
      <vt:variant>
        <vt:i4>5</vt:i4>
      </vt:variant>
      <vt:variant>
        <vt:lpwstr/>
      </vt:variant>
      <vt:variant>
        <vt:lpwstr>_Toc493082797</vt:lpwstr>
      </vt:variant>
      <vt:variant>
        <vt:i4>1376312</vt:i4>
      </vt:variant>
      <vt:variant>
        <vt:i4>696</vt:i4>
      </vt:variant>
      <vt:variant>
        <vt:i4>0</vt:i4>
      </vt:variant>
      <vt:variant>
        <vt:i4>5</vt:i4>
      </vt:variant>
      <vt:variant>
        <vt:lpwstr/>
      </vt:variant>
      <vt:variant>
        <vt:lpwstr>_Toc493082796</vt:lpwstr>
      </vt:variant>
      <vt:variant>
        <vt:i4>1376312</vt:i4>
      </vt:variant>
      <vt:variant>
        <vt:i4>690</vt:i4>
      </vt:variant>
      <vt:variant>
        <vt:i4>0</vt:i4>
      </vt:variant>
      <vt:variant>
        <vt:i4>5</vt:i4>
      </vt:variant>
      <vt:variant>
        <vt:lpwstr/>
      </vt:variant>
      <vt:variant>
        <vt:lpwstr>_Toc493082795</vt:lpwstr>
      </vt:variant>
      <vt:variant>
        <vt:i4>1376312</vt:i4>
      </vt:variant>
      <vt:variant>
        <vt:i4>684</vt:i4>
      </vt:variant>
      <vt:variant>
        <vt:i4>0</vt:i4>
      </vt:variant>
      <vt:variant>
        <vt:i4>5</vt:i4>
      </vt:variant>
      <vt:variant>
        <vt:lpwstr/>
      </vt:variant>
      <vt:variant>
        <vt:lpwstr>_Toc493082794</vt:lpwstr>
      </vt:variant>
      <vt:variant>
        <vt:i4>1376312</vt:i4>
      </vt:variant>
      <vt:variant>
        <vt:i4>678</vt:i4>
      </vt:variant>
      <vt:variant>
        <vt:i4>0</vt:i4>
      </vt:variant>
      <vt:variant>
        <vt:i4>5</vt:i4>
      </vt:variant>
      <vt:variant>
        <vt:lpwstr/>
      </vt:variant>
      <vt:variant>
        <vt:lpwstr>_Toc493082793</vt:lpwstr>
      </vt:variant>
      <vt:variant>
        <vt:i4>1376312</vt:i4>
      </vt:variant>
      <vt:variant>
        <vt:i4>672</vt:i4>
      </vt:variant>
      <vt:variant>
        <vt:i4>0</vt:i4>
      </vt:variant>
      <vt:variant>
        <vt:i4>5</vt:i4>
      </vt:variant>
      <vt:variant>
        <vt:lpwstr/>
      </vt:variant>
      <vt:variant>
        <vt:lpwstr>_Toc493082792</vt:lpwstr>
      </vt:variant>
      <vt:variant>
        <vt:i4>1376312</vt:i4>
      </vt:variant>
      <vt:variant>
        <vt:i4>666</vt:i4>
      </vt:variant>
      <vt:variant>
        <vt:i4>0</vt:i4>
      </vt:variant>
      <vt:variant>
        <vt:i4>5</vt:i4>
      </vt:variant>
      <vt:variant>
        <vt:lpwstr/>
      </vt:variant>
      <vt:variant>
        <vt:lpwstr>_Toc493082791</vt:lpwstr>
      </vt:variant>
      <vt:variant>
        <vt:i4>1376312</vt:i4>
      </vt:variant>
      <vt:variant>
        <vt:i4>660</vt:i4>
      </vt:variant>
      <vt:variant>
        <vt:i4>0</vt:i4>
      </vt:variant>
      <vt:variant>
        <vt:i4>5</vt:i4>
      </vt:variant>
      <vt:variant>
        <vt:lpwstr/>
      </vt:variant>
      <vt:variant>
        <vt:lpwstr>_Toc493082790</vt:lpwstr>
      </vt:variant>
      <vt:variant>
        <vt:i4>1310776</vt:i4>
      </vt:variant>
      <vt:variant>
        <vt:i4>654</vt:i4>
      </vt:variant>
      <vt:variant>
        <vt:i4>0</vt:i4>
      </vt:variant>
      <vt:variant>
        <vt:i4>5</vt:i4>
      </vt:variant>
      <vt:variant>
        <vt:lpwstr/>
      </vt:variant>
      <vt:variant>
        <vt:lpwstr>_Toc493082789</vt:lpwstr>
      </vt:variant>
      <vt:variant>
        <vt:i4>1310776</vt:i4>
      </vt:variant>
      <vt:variant>
        <vt:i4>648</vt:i4>
      </vt:variant>
      <vt:variant>
        <vt:i4>0</vt:i4>
      </vt:variant>
      <vt:variant>
        <vt:i4>5</vt:i4>
      </vt:variant>
      <vt:variant>
        <vt:lpwstr/>
      </vt:variant>
      <vt:variant>
        <vt:lpwstr>_Toc493082788</vt:lpwstr>
      </vt:variant>
      <vt:variant>
        <vt:i4>1310776</vt:i4>
      </vt:variant>
      <vt:variant>
        <vt:i4>642</vt:i4>
      </vt:variant>
      <vt:variant>
        <vt:i4>0</vt:i4>
      </vt:variant>
      <vt:variant>
        <vt:i4>5</vt:i4>
      </vt:variant>
      <vt:variant>
        <vt:lpwstr/>
      </vt:variant>
      <vt:variant>
        <vt:lpwstr>_Toc493082787</vt:lpwstr>
      </vt:variant>
      <vt:variant>
        <vt:i4>1310776</vt:i4>
      </vt:variant>
      <vt:variant>
        <vt:i4>636</vt:i4>
      </vt:variant>
      <vt:variant>
        <vt:i4>0</vt:i4>
      </vt:variant>
      <vt:variant>
        <vt:i4>5</vt:i4>
      </vt:variant>
      <vt:variant>
        <vt:lpwstr/>
      </vt:variant>
      <vt:variant>
        <vt:lpwstr>_Toc493082786</vt:lpwstr>
      </vt:variant>
      <vt:variant>
        <vt:i4>1310776</vt:i4>
      </vt:variant>
      <vt:variant>
        <vt:i4>630</vt:i4>
      </vt:variant>
      <vt:variant>
        <vt:i4>0</vt:i4>
      </vt:variant>
      <vt:variant>
        <vt:i4>5</vt:i4>
      </vt:variant>
      <vt:variant>
        <vt:lpwstr/>
      </vt:variant>
      <vt:variant>
        <vt:lpwstr>_Toc493082785</vt:lpwstr>
      </vt:variant>
      <vt:variant>
        <vt:i4>1310776</vt:i4>
      </vt:variant>
      <vt:variant>
        <vt:i4>624</vt:i4>
      </vt:variant>
      <vt:variant>
        <vt:i4>0</vt:i4>
      </vt:variant>
      <vt:variant>
        <vt:i4>5</vt:i4>
      </vt:variant>
      <vt:variant>
        <vt:lpwstr/>
      </vt:variant>
      <vt:variant>
        <vt:lpwstr>_Toc493082784</vt:lpwstr>
      </vt:variant>
      <vt:variant>
        <vt:i4>1310776</vt:i4>
      </vt:variant>
      <vt:variant>
        <vt:i4>618</vt:i4>
      </vt:variant>
      <vt:variant>
        <vt:i4>0</vt:i4>
      </vt:variant>
      <vt:variant>
        <vt:i4>5</vt:i4>
      </vt:variant>
      <vt:variant>
        <vt:lpwstr/>
      </vt:variant>
      <vt:variant>
        <vt:lpwstr>_Toc493082783</vt:lpwstr>
      </vt:variant>
      <vt:variant>
        <vt:i4>1310776</vt:i4>
      </vt:variant>
      <vt:variant>
        <vt:i4>612</vt:i4>
      </vt:variant>
      <vt:variant>
        <vt:i4>0</vt:i4>
      </vt:variant>
      <vt:variant>
        <vt:i4>5</vt:i4>
      </vt:variant>
      <vt:variant>
        <vt:lpwstr/>
      </vt:variant>
      <vt:variant>
        <vt:lpwstr>_Toc493082782</vt:lpwstr>
      </vt:variant>
      <vt:variant>
        <vt:i4>1310776</vt:i4>
      </vt:variant>
      <vt:variant>
        <vt:i4>606</vt:i4>
      </vt:variant>
      <vt:variant>
        <vt:i4>0</vt:i4>
      </vt:variant>
      <vt:variant>
        <vt:i4>5</vt:i4>
      </vt:variant>
      <vt:variant>
        <vt:lpwstr/>
      </vt:variant>
      <vt:variant>
        <vt:lpwstr>_Toc493082781</vt:lpwstr>
      </vt:variant>
      <vt:variant>
        <vt:i4>1310776</vt:i4>
      </vt:variant>
      <vt:variant>
        <vt:i4>600</vt:i4>
      </vt:variant>
      <vt:variant>
        <vt:i4>0</vt:i4>
      </vt:variant>
      <vt:variant>
        <vt:i4>5</vt:i4>
      </vt:variant>
      <vt:variant>
        <vt:lpwstr/>
      </vt:variant>
      <vt:variant>
        <vt:lpwstr>_Toc493082780</vt:lpwstr>
      </vt:variant>
      <vt:variant>
        <vt:i4>1769528</vt:i4>
      </vt:variant>
      <vt:variant>
        <vt:i4>594</vt:i4>
      </vt:variant>
      <vt:variant>
        <vt:i4>0</vt:i4>
      </vt:variant>
      <vt:variant>
        <vt:i4>5</vt:i4>
      </vt:variant>
      <vt:variant>
        <vt:lpwstr/>
      </vt:variant>
      <vt:variant>
        <vt:lpwstr>_Toc493082779</vt:lpwstr>
      </vt:variant>
      <vt:variant>
        <vt:i4>1769528</vt:i4>
      </vt:variant>
      <vt:variant>
        <vt:i4>588</vt:i4>
      </vt:variant>
      <vt:variant>
        <vt:i4>0</vt:i4>
      </vt:variant>
      <vt:variant>
        <vt:i4>5</vt:i4>
      </vt:variant>
      <vt:variant>
        <vt:lpwstr/>
      </vt:variant>
      <vt:variant>
        <vt:lpwstr>_Toc493082778</vt:lpwstr>
      </vt:variant>
      <vt:variant>
        <vt:i4>1769528</vt:i4>
      </vt:variant>
      <vt:variant>
        <vt:i4>582</vt:i4>
      </vt:variant>
      <vt:variant>
        <vt:i4>0</vt:i4>
      </vt:variant>
      <vt:variant>
        <vt:i4>5</vt:i4>
      </vt:variant>
      <vt:variant>
        <vt:lpwstr/>
      </vt:variant>
      <vt:variant>
        <vt:lpwstr>_Toc493082777</vt:lpwstr>
      </vt:variant>
      <vt:variant>
        <vt:i4>1769528</vt:i4>
      </vt:variant>
      <vt:variant>
        <vt:i4>576</vt:i4>
      </vt:variant>
      <vt:variant>
        <vt:i4>0</vt:i4>
      </vt:variant>
      <vt:variant>
        <vt:i4>5</vt:i4>
      </vt:variant>
      <vt:variant>
        <vt:lpwstr/>
      </vt:variant>
      <vt:variant>
        <vt:lpwstr>_Toc493082776</vt:lpwstr>
      </vt:variant>
      <vt:variant>
        <vt:i4>1769528</vt:i4>
      </vt:variant>
      <vt:variant>
        <vt:i4>570</vt:i4>
      </vt:variant>
      <vt:variant>
        <vt:i4>0</vt:i4>
      </vt:variant>
      <vt:variant>
        <vt:i4>5</vt:i4>
      </vt:variant>
      <vt:variant>
        <vt:lpwstr/>
      </vt:variant>
      <vt:variant>
        <vt:lpwstr>_Toc493082775</vt:lpwstr>
      </vt:variant>
      <vt:variant>
        <vt:i4>1769528</vt:i4>
      </vt:variant>
      <vt:variant>
        <vt:i4>564</vt:i4>
      </vt:variant>
      <vt:variant>
        <vt:i4>0</vt:i4>
      </vt:variant>
      <vt:variant>
        <vt:i4>5</vt:i4>
      </vt:variant>
      <vt:variant>
        <vt:lpwstr/>
      </vt:variant>
      <vt:variant>
        <vt:lpwstr>_Toc493082774</vt:lpwstr>
      </vt:variant>
      <vt:variant>
        <vt:i4>1769528</vt:i4>
      </vt:variant>
      <vt:variant>
        <vt:i4>558</vt:i4>
      </vt:variant>
      <vt:variant>
        <vt:i4>0</vt:i4>
      </vt:variant>
      <vt:variant>
        <vt:i4>5</vt:i4>
      </vt:variant>
      <vt:variant>
        <vt:lpwstr/>
      </vt:variant>
      <vt:variant>
        <vt:lpwstr>_Toc493082773</vt:lpwstr>
      </vt:variant>
      <vt:variant>
        <vt:i4>1769528</vt:i4>
      </vt:variant>
      <vt:variant>
        <vt:i4>552</vt:i4>
      </vt:variant>
      <vt:variant>
        <vt:i4>0</vt:i4>
      </vt:variant>
      <vt:variant>
        <vt:i4>5</vt:i4>
      </vt:variant>
      <vt:variant>
        <vt:lpwstr/>
      </vt:variant>
      <vt:variant>
        <vt:lpwstr>_Toc493082772</vt:lpwstr>
      </vt:variant>
      <vt:variant>
        <vt:i4>1769528</vt:i4>
      </vt:variant>
      <vt:variant>
        <vt:i4>546</vt:i4>
      </vt:variant>
      <vt:variant>
        <vt:i4>0</vt:i4>
      </vt:variant>
      <vt:variant>
        <vt:i4>5</vt:i4>
      </vt:variant>
      <vt:variant>
        <vt:lpwstr/>
      </vt:variant>
      <vt:variant>
        <vt:lpwstr>_Toc493082771</vt:lpwstr>
      </vt:variant>
      <vt:variant>
        <vt:i4>1769528</vt:i4>
      </vt:variant>
      <vt:variant>
        <vt:i4>540</vt:i4>
      </vt:variant>
      <vt:variant>
        <vt:i4>0</vt:i4>
      </vt:variant>
      <vt:variant>
        <vt:i4>5</vt:i4>
      </vt:variant>
      <vt:variant>
        <vt:lpwstr/>
      </vt:variant>
      <vt:variant>
        <vt:lpwstr>_Toc493082770</vt:lpwstr>
      </vt:variant>
      <vt:variant>
        <vt:i4>1703992</vt:i4>
      </vt:variant>
      <vt:variant>
        <vt:i4>534</vt:i4>
      </vt:variant>
      <vt:variant>
        <vt:i4>0</vt:i4>
      </vt:variant>
      <vt:variant>
        <vt:i4>5</vt:i4>
      </vt:variant>
      <vt:variant>
        <vt:lpwstr/>
      </vt:variant>
      <vt:variant>
        <vt:lpwstr>_Toc493082769</vt:lpwstr>
      </vt:variant>
      <vt:variant>
        <vt:i4>1703992</vt:i4>
      </vt:variant>
      <vt:variant>
        <vt:i4>528</vt:i4>
      </vt:variant>
      <vt:variant>
        <vt:i4>0</vt:i4>
      </vt:variant>
      <vt:variant>
        <vt:i4>5</vt:i4>
      </vt:variant>
      <vt:variant>
        <vt:lpwstr/>
      </vt:variant>
      <vt:variant>
        <vt:lpwstr>_Toc493082768</vt:lpwstr>
      </vt:variant>
      <vt:variant>
        <vt:i4>1703992</vt:i4>
      </vt:variant>
      <vt:variant>
        <vt:i4>522</vt:i4>
      </vt:variant>
      <vt:variant>
        <vt:i4>0</vt:i4>
      </vt:variant>
      <vt:variant>
        <vt:i4>5</vt:i4>
      </vt:variant>
      <vt:variant>
        <vt:lpwstr/>
      </vt:variant>
      <vt:variant>
        <vt:lpwstr>_Toc493082767</vt:lpwstr>
      </vt:variant>
      <vt:variant>
        <vt:i4>1703992</vt:i4>
      </vt:variant>
      <vt:variant>
        <vt:i4>516</vt:i4>
      </vt:variant>
      <vt:variant>
        <vt:i4>0</vt:i4>
      </vt:variant>
      <vt:variant>
        <vt:i4>5</vt:i4>
      </vt:variant>
      <vt:variant>
        <vt:lpwstr/>
      </vt:variant>
      <vt:variant>
        <vt:lpwstr>_Toc493082766</vt:lpwstr>
      </vt:variant>
      <vt:variant>
        <vt:i4>1703992</vt:i4>
      </vt:variant>
      <vt:variant>
        <vt:i4>510</vt:i4>
      </vt:variant>
      <vt:variant>
        <vt:i4>0</vt:i4>
      </vt:variant>
      <vt:variant>
        <vt:i4>5</vt:i4>
      </vt:variant>
      <vt:variant>
        <vt:lpwstr/>
      </vt:variant>
      <vt:variant>
        <vt:lpwstr>_Toc493082765</vt:lpwstr>
      </vt:variant>
      <vt:variant>
        <vt:i4>1703992</vt:i4>
      </vt:variant>
      <vt:variant>
        <vt:i4>504</vt:i4>
      </vt:variant>
      <vt:variant>
        <vt:i4>0</vt:i4>
      </vt:variant>
      <vt:variant>
        <vt:i4>5</vt:i4>
      </vt:variant>
      <vt:variant>
        <vt:lpwstr/>
      </vt:variant>
      <vt:variant>
        <vt:lpwstr>_Toc493082764</vt:lpwstr>
      </vt:variant>
      <vt:variant>
        <vt:i4>1703992</vt:i4>
      </vt:variant>
      <vt:variant>
        <vt:i4>498</vt:i4>
      </vt:variant>
      <vt:variant>
        <vt:i4>0</vt:i4>
      </vt:variant>
      <vt:variant>
        <vt:i4>5</vt:i4>
      </vt:variant>
      <vt:variant>
        <vt:lpwstr/>
      </vt:variant>
      <vt:variant>
        <vt:lpwstr>_Toc493082763</vt:lpwstr>
      </vt:variant>
      <vt:variant>
        <vt:i4>1703992</vt:i4>
      </vt:variant>
      <vt:variant>
        <vt:i4>492</vt:i4>
      </vt:variant>
      <vt:variant>
        <vt:i4>0</vt:i4>
      </vt:variant>
      <vt:variant>
        <vt:i4>5</vt:i4>
      </vt:variant>
      <vt:variant>
        <vt:lpwstr/>
      </vt:variant>
      <vt:variant>
        <vt:lpwstr>_Toc493082762</vt:lpwstr>
      </vt:variant>
      <vt:variant>
        <vt:i4>1703992</vt:i4>
      </vt:variant>
      <vt:variant>
        <vt:i4>486</vt:i4>
      </vt:variant>
      <vt:variant>
        <vt:i4>0</vt:i4>
      </vt:variant>
      <vt:variant>
        <vt:i4>5</vt:i4>
      </vt:variant>
      <vt:variant>
        <vt:lpwstr/>
      </vt:variant>
      <vt:variant>
        <vt:lpwstr>_Toc493082761</vt:lpwstr>
      </vt:variant>
      <vt:variant>
        <vt:i4>1703992</vt:i4>
      </vt:variant>
      <vt:variant>
        <vt:i4>480</vt:i4>
      </vt:variant>
      <vt:variant>
        <vt:i4>0</vt:i4>
      </vt:variant>
      <vt:variant>
        <vt:i4>5</vt:i4>
      </vt:variant>
      <vt:variant>
        <vt:lpwstr/>
      </vt:variant>
      <vt:variant>
        <vt:lpwstr>_Toc493082760</vt:lpwstr>
      </vt:variant>
      <vt:variant>
        <vt:i4>1638456</vt:i4>
      </vt:variant>
      <vt:variant>
        <vt:i4>474</vt:i4>
      </vt:variant>
      <vt:variant>
        <vt:i4>0</vt:i4>
      </vt:variant>
      <vt:variant>
        <vt:i4>5</vt:i4>
      </vt:variant>
      <vt:variant>
        <vt:lpwstr/>
      </vt:variant>
      <vt:variant>
        <vt:lpwstr>_Toc493082759</vt:lpwstr>
      </vt:variant>
      <vt:variant>
        <vt:i4>1638456</vt:i4>
      </vt:variant>
      <vt:variant>
        <vt:i4>468</vt:i4>
      </vt:variant>
      <vt:variant>
        <vt:i4>0</vt:i4>
      </vt:variant>
      <vt:variant>
        <vt:i4>5</vt:i4>
      </vt:variant>
      <vt:variant>
        <vt:lpwstr/>
      </vt:variant>
      <vt:variant>
        <vt:lpwstr>_Toc493082758</vt:lpwstr>
      </vt:variant>
      <vt:variant>
        <vt:i4>1638456</vt:i4>
      </vt:variant>
      <vt:variant>
        <vt:i4>462</vt:i4>
      </vt:variant>
      <vt:variant>
        <vt:i4>0</vt:i4>
      </vt:variant>
      <vt:variant>
        <vt:i4>5</vt:i4>
      </vt:variant>
      <vt:variant>
        <vt:lpwstr/>
      </vt:variant>
      <vt:variant>
        <vt:lpwstr>_Toc493082757</vt:lpwstr>
      </vt:variant>
      <vt:variant>
        <vt:i4>1638456</vt:i4>
      </vt:variant>
      <vt:variant>
        <vt:i4>456</vt:i4>
      </vt:variant>
      <vt:variant>
        <vt:i4>0</vt:i4>
      </vt:variant>
      <vt:variant>
        <vt:i4>5</vt:i4>
      </vt:variant>
      <vt:variant>
        <vt:lpwstr/>
      </vt:variant>
      <vt:variant>
        <vt:lpwstr>_Toc493082756</vt:lpwstr>
      </vt:variant>
      <vt:variant>
        <vt:i4>1638456</vt:i4>
      </vt:variant>
      <vt:variant>
        <vt:i4>450</vt:i4>
      </vt:variant>
      <vt:variant>
        <vt:i4>0</vt:i4>
      </vt:variant>
      <vt:variant>
        <vt:i4>5</vt:i4>
      </vt:variant>
      <vt:variant>
        <vt:lpwstr/>
      </vt:variant>
      <vt:variant>
        <vt:lpwstr>_Toc493082755</vt:lpwstr>
      </vt:variant>
      <vt:variant>
        <vt:i4>1638456</vt:i4>
      </vt:variant>
      <vt:variant>
        <vt:i4>444</vt:i4>
      </vt:variant>
      <vt:variant>
        <vt:i4>0</vt:i4>
      </vt:variant>
      <vt:variant>
        <vt:i4>5</vt:i4>
      </vt:variant>
      <vt:variant>
        <vt:lpwstr/>
      </vt:variant>
      <vt:variant>
        <vt:lpwstr>_Toc493082754</vt:lpwstr>
      </vt:variant>
      <vt:variant>
        <vt:i4>1638456</vt:i4>
      </vt:variant>
      <vt:variant>
        <vt:i4>438</vt:i4>
      </vt:variant>
      <vt:variant>
        <vt:i4>0</vt:i4>
      </vt:variant>
      <vt:variant>
        <vt:i4>5</vt:i4>
      </vt:variant>
      <vt:variant>
        <vt:lpwstr/>
      </vt:variant>
      <vt:variant>
        <vt:lpwstr>_Toc493082753</vt:lpwstr>
      </vt:variant>
      <vt:variant>
        <vt:i4>1638456</vt:i4>
      </vt:variant>
      <vt:variant>
        <vt:i4>432</vt:i4>
      </vt:variant>
      <vt:variant>
        <vt:i4>0</vt:i4>
      </vt:variant>
      <vt:variant>
        <vt:i4>5</vt:i4>
      </vt:variant>
      <vt:variant>
        <vt:lpwstr/>
      </vt:variant>
      <vt:variant>
        <vt:lpwstr>_Toc493082752</vt:lpwstr>
      </vt:variant>
      <vt:variant>
        <vt:i4>1638456</vt:i4>
      </vt:variant>
      <vt:variant>
        <vt:i4>426</vt:i4>
      </vt:variant>
      <vt:variant>
        <vt:i4>0</vt:i4>
      </vt:variant>
      <vt:variant>
        <vt:i4>5</vt:i4>
      </vt:variant>
      <vt:variant>
        <vt:lpwstr/>
      </vt:variant>
      <vt:variant>
        <vt:lpwstr>_Toc493082751</vt:lpwstr>
      </vt:variant>
      <vt:variant>
        <vt:i4>1638456</vt:i4>
      </vt:variant>
      <vt:variant>
        <vt:i4>420</vt:i4>
      </vt:variant>
      <vt:variant>
        <vt:i4>0</vt:i4>
      </vt:variant>
      <vt:variant>
        <vt:i4>5</vt:i4>
      </vt:variant>
      <vt:variant>
        <vt:lpwstr/>
      </vt:variant>
      <vt:variant>
        <vt:lpwstr>_Toc493082750</vt:lpwstr>
      </vt:variant>
      <vt:variant>
        <vt:i4>1572920</vt:i4>
      </vt:variant>
      <vt:variant>
        <vt:i4>414</vt:i4>
      </vt:variant>
      <vt:variant>
        <vt:i4>0</vt:i4>
      </vt:variant>
      <vt:variant>
        <vt:i4>5</vt:i4>
      </vt:variant>
      <vt:variant>
        <vt:lpwstr/>
      </vt:variant>
      <vt:variant>
        <vt:lpwstr>_Toc493082749</vt:lpwstr>
      </vt:variant>
      <vt:variant>
        <vt:i4>1572920</vt:i4>
      </vt:variant>
      <vt:variant>
        <vt:i4>408</vt:i4>
      </vt:variant>
      <vt:variant>
        <vt:i4>0</vt:i4>
      </vt:variant>
      <vt:variant>
        <vt:i4>5</vt:i4>
      </vt:variant>
      <vt:variant>
        <vt:lpwstr/>
      </vt:variant>
      <vt:variant>
        <vt:lpwstr>_Toc493082748</vt:lpwstr>
      </vt:variant>
      <vt:variant>
        <vt:i4>1572920</vt:i4>
      </vt:variant>
      <vt:variant>
        <vt:i4>402</vt:i4>
      </vt:variant>
      <vt:variant>
        <vt:i4>0</vt:i4>
      </vt:variant>
      <vt:variant>
        <vt:i4>5</vt:i4>
      </vt:variant>
      <vt:variant>
        <vt:lpwstr/>
      </vt:variant>
      <vt:variant>
        <vt:lpwstr>_Toc493082747</vt:lpwstr>
      </vt:variant>
      <vt:variant>
        <vt:i4>1572920</vt:i4>
      </vt:variant>
      <vt:variant>
        <vt:i4>396</vt:i4>
      </vt:variant>
      <vt:variant>
        <vt:i4>0</vt:i4>
      </vt:variant>
      <vt:variant>
        <vt:i4>5</vt:i4>
      </vt:variant>
      <vt:variant>
        <vt:lpwstr/>
      </vt:variant>
      <vt:variant>
        <vt:lpwstr>_Toc493082746</vt:lpwstr>
      </vt:variant>
      <vt:variant>
        <vt:i4>1572920</vt:i4>
      </vt:variant>
      <vt:variant>
        <vt:i4>390</vt:i4>
      </vt:variant>
      <vt:variant>
        <vt:i4>0</vt:i4>
      </vt:variant>
      <vt:variant>
        <vt:i4>5</vt:i4>
      </vt:variant>
      <vt:variant>
        <vt:lpwstr/>
      </vt:variant>
      <vt:variant>
        <vt:lpwstr>_Toc493082745</vt:lpwstr>
      </vt:variant>
      <vt:variant>
        <vt:i4>1572920</vt:i4>
      </vt:variant>
      <vt:variant>
        <vt:i4>384</vt:i4>
      </vt:variant>
      <vt:variant>
        <vt:i4>0</vt:i4>
      </vt:variant>
      <vt:variant>
        <vt:i4>5</vt:i4>
      </vt:variant>
      <vt:variant>
        <vt:lpwstr/>
      </vt:variant>
      <vt:variant>
        <vt:lpwstr>_Toc493082744</vt:lpwstr>
      </vt:variant>
      <vt:variant>
        <vt:i4>1572920</vt:i4>
      </vt:variant>
      <vt:variant>
        <vt:i4>378</vt:i4>
      </vt:variant>
      <vt:variant>
        <vt:i4>0</vt:i4>
      </vt:variant>
      <vt:variant>
        <vt:i4>5</vt:i4>
      </vt:variant>
      <vt:variant>
        <vt:lpwstr/>
      </vt:variant>
      <vt:variant>
        <vt:lpwstr>_Toc493082743</vt:lpwstr>
      </vt:variant>
      <vt:variant>
        <vt:i4>1572920</vt:i4>
      </vt:variant>
      <vt:variant>
        <vt:i4>372</vt:i4>
      </vt:variant>
      <vt:variant>
        <vt:i4>0</vt:i4>
      </vt:variant>
      <vt:variant>
        <vt:i4>5</vt:i4>
      </vt:variant>
      <vt:variant>
        <vt:lpwstr/>
      </vt:variant>
      <vt:variant>
        <vt:lpwstr>_Toc493082742</vt:lpwstr>
      </vt:variant>
      <vt:variant>
        <vt:i4>1572920</vt:i4>
      </vt:variant>
      <vt:variant>
        <vt:i4>366</vt:i4>
      </vt:variant>
      <vt:variant>
        <vt:i4>0</vt:i4>
      </vt:variant>
      <vt:variant>
        <vt:i4>5</vt:i4>
      </vt:variant>
      <vt:variant>
        <vt:lpwstr/>
      </vt:variant>
      <vt:variant>
        <vt:lpwstr>_Toc493082741</vt:lpwstr>
      </vt:variant>
      <vt:variant>
        <vt:i4>1572920</vt:i4>
      </vt:variant>
      <vt:variant>
        <vt:i4>360</vt:i4>
      </vt:variant>
      <vt:variant>
        <vt:i4>0</vt:i4>
      </vt:variant>
      <vt:variant>
        <vt:i4>5</vt:i4>
      </vt:variant>
      <vt:variant>
        <vt:lpwstr/>
      </vt:variant>
      <vt:variant>
        <vt:lpwstr>_Toc493082740</vt:lpwstr>
      </vt:variant>
      <vt:variant>
        <vt:i4>2031672</vt:i4>
      </vt:variant>
      <vt:variant>
        <vt:i4>354</vt:i4>
      </vt:variant>
      <vt:variant>
        <vt:i4>0</vt:i4>
      </vt:variant>
      <vt:variant>
        <vt:i4>5</vt:i4>
      </vt:variant>
      <vt:variant>
        <vt:lpwstr/>
      </vt:variant>
      <vt:variant>
        <vt:lpwstr>_Toc493082739</vt:lpwstr>
      </vt:variant>
      <vt:variant>
        <vt:i4>2031672</vt:i4>
      </vt:variant>
      <vt:variant>
        <vt:i4>348</vt:i4>
      </vt:variant>
      <vt:variant>
        <vt:i4>0</vt:i4>
      </vt:variant>
      <vt:variant>
        <vt:i4>5</vt:i4>
      </vt:variant>
      <vt:variant>
        <vt:lpwstr/>
      </vt:variant>
      <vt:variant>
        <vt:lpwstr>_Toc493082738</vt:lpwstr>
      </vt:variant>
      <vt:variant>
        <vt:i4>2031672</vt:i4>
      </vt:variant>
      <vt:variant>
        <vt:i4>342</vt:i4>
      </vt:variant>
      <vt:variant>
        <vt:i4>0</vt:i4>
      </vt:variant>
      <vt:variant>
        <vt:i4>5</vt:i4>
      </vt:variant>
      <vt:variant>
        <vt:lpwstr/>
      </vt:variant>
      <vt:variant>
        <vt:lpwstr>_Toc493082737</vt:lpwstr>
      </vt:variant>
      <vt:variant>
        <vt:i4>2031672</vt:i4>
      </vt:variant>
      <vt:variant>
        <vt:i4>336</vt:i4>
      </vt:variant>
      <vt:variant>
        <vt:i4>0</vt:i4>
      </vt:variant>
      <vt:variant>
        <vt:i4>5</vt:i4>
      </vt:variant>
      <vt:variant>
        <vt:lpwstr/>
      </vt:variant>
      <vt:variant>
        <vt:lpwstr>_Toc493082736</vt:lpwstr>
      </vt:variant>
      <vt:variant>
        <vt:i4>2031672</vt:i4>
      </vt:variant>
      <vt:variant>
        <vt:i4>330</vt:i4>
      </vt:variant>
      <vt:variant>
        <vt:i4>0</vt:i4>
      </vt:variant>
      <vt:variant>
        <vt:i4>5</vt:i4>
      </vt:variant>
      <vt:variant>
        <vt:lpwstr/>
      </vt:variant>
      <vt:variant>
        <vt:lpwstr>_Toc493082735</vt:lpwstr>
      </vt:variant>
      <vt:variant>
        <vt:i4>2031672</vt:i4>
      </vt:variant>
      <vt:variant>
        <vt:i4>324</vt:i4>
      </vt:variant>
      <vt:variant>
        <vt:i4>0</vt:i4>
      </vt:variant>
      <vt:variant>
        <vt:i4>5</vt:i4>
      </vt:variant>
      <vt:variant>
        <vt:lpwstr/>
      </vt:variant>
      <vt:variant>
        <vt:lpwstr>_Toc493082734</vt:lpwstr>
      </vt:variant>
      <vt:variant>
        <vt:i4>2031672</vt:i4>
      </vt:variant>
      <vt:variant>
        <vt:i4>318</vt:i4>
      </vt:variant>
      <vt:variant>
        <vt:i4>0</vt:i4>
      </vt:variant>
      <vt:variant>
        <vt:i4>5</vt:i4>
      </vt:variant>
      <vt:variant>
        <vt:lpwstr/>
      </vt:variant>
      <vt:variant>
        <vt:lpwstr>_Toc493082733</vt:lpwstr>
      </vt:variant>
      <vt:variant>
        <vt:i4>2031672</vt:i4>
      </vt:variant>
      <vt:variant>
        <vt:i4>312</vt:i4>
      </vt:variant>
      <vt:variant>
        <vt:i4>0</vt:i4>
      </vt:variant>
      <vt:variant>
        <vt:i4>5</vt:i4>
      </vt:variant>
      <vt:variant>
        <vt:lpwstr/>
      </vt:variant>
      <vt:variant>
        <vt:lpwstr>_Toc493082732</vt:lpwstr>
      </vt:variant>
      <vt:variant>
        <vt:i4>2031672</vt:i4>
      </vt:variant>
      <vt:variant>
        <vt:i4>306</vt:i4>
      </vt:variant>
      <vt:variant>
        <vt:i4>0</vt:i4>
      </vt:variant>
      <vt:variant>
        <vt:i4>5</vt:i4>
      </vt:variant>
      <vt:variant>
        <vt:lpwstr/>
      </vt:variant>
      <vt:variant>
        <vt:lpwstr>_Toc493082731</vt:lpwstr>
      </vt:variant>
      <vt:variant>
        <vt:i4>2031672</vt:i4>
      </vt:variant>
      <vt:variant>
        <vt:i4>300</vt:i4>
      </vt:variant>
      <vt:variant>
        <vt:i4>0</vt:i4>
      </vt:variant>
      <vt:variant>
        <vt:i4>5</vt:i4>
      </vt:variant>
      <vt:variant>
        <vt:lpwstr/>
      </vt:variant>
      <vt:variant>
        <vt:lpwstr>_Toc493082730</vt:lpwstr>
      </vt:variant>
      <vt:variant>
        <vt:i4>1966136</vt:i4>
      </vt:variant>
      <vt:variant>
        <vt:i4>294</vt:i4>
      </vt:variant>
      <vt:variant>
        <vt:i4>0</vt:i4>
      </vt:variant>
      <vt:variant>
        <vt:i4>5</vt:i4>
      </vt:variant>
      <vt:variant>
        <vt:lpwstr/>
      </vt:variant>
      <vt:variant>
        <vt:lpwstr>_Toc493082729</vt:lpwstr>
      </vt:variant>
      <vt:variant>
        <vt:i4>1966136</vt:i4>
      </vt:variant>
      <vt:variant>
        <vt:i4>288</vt:i4>
      </vt:variant>
      <vt:variant>
        <vt:i4>0</vt:i4>
      </vt:variant>
      <vt:variant>
        <vt:i4>5</vt:i4>
      </vt:variant>
      <vt:variant>
        <vt:lpwstr/>
      </vt:variant>
      <vt:variant>
        <vt:lpwstr>_Toc493082728</vt:lpwstr>
      </vt:variant>
      <vt:variant>
        <vt:i4>1966136</vt:i4>
      </vt:variant>
      <vt:variant>
        <vt:i4>282</vt:i4>
      </vt:variant>
      <vt:variant>
        <vt:i4>0</vt:i4>
      </vt:variant>
      <vt:variant>
        <vt:i4>5</vt:i4>
      </vt:variant>
      <vt:variant>
        <vt:lpwstr/>
      </vt:variant>
      <vt:variant>
        <vt:lpwstr>_Toc493082727</vt:lpwstr>
      </vt:variant>
      <vt:variant>
        <vt:i4>1966136</vt:i4>
      </vt:variant>
      <vt:variant>
        <vt:i4>276</vt:i4>
      </vt:variant>
      <vt:variant>
        <vt:i4>0</vt:i4>
      </vt:variant>
      <vt:variant>
        <vt:i4>5</vt:i4>
      </vt:variant>
      <vt:variant>
        <vt:lpwstr/>
      </vt:variant>
      <vt:variant>
        <vt:lpwstr>_Toc493082726</vt:lpwstr>
      </vt:variant>
      <vt:variant>
        <vt:i4>1966136</vt:i4>
      </vt:variant>
      <vt:variant>
        <vt:i4>270</vt:i4>
      </vt:variant>
      <vt:variant>
        <vt:i4>0</vt:i4>
      </vt:variant>
      <vt:variant>
        <vt:i4>5</vt:i4>
      </vt:variant>
      <vt:variant>
        <vt:lpwstr/>
      </vt:variant>
      <vt:variant>
        <vt:lpwstr>_Toc493082725</vt:lpwstr>
      </vt:variant>
      <vt:variant>
        <vt:i4>1966136</vt:i4>
      </vt:variant>
      <vt:variant>
        <vt:i4>264</vt:i4>
      </vt:variant>
      <vt:variant>
        <vt:i4>0</vt:i4>
      </vt:variant>
      <vt:variant>
        <vt:i4>5</vt:i4>
      </vt:variant>
      <vt:variant>
        <vt:lpwstr/>
      </vt:variant>
      <vt:variant>
        <vt:lpwstr>_Toc493082724</vt:lpwstr>
      </vt:variant>
      <vt:variant>
        <vt:i4>1966136</vt:i4>
      </vt:variant>
      <vt:variant>
        <vt:i4>258</vt:i4>
      </vt:variant>
      <vt:variant>
        <vt:i4>0</vt:i4>
      </vt:variant>
      <vt:variant>
        <vt:i4>5</vt:i4>
      </vt:variant>
      <vt:variant>
        <vt:lpwstr/>
      </vt:variant>
      <vt:variant>
        <vt:lpwstr>_Toc493082723</vt:lpwstr>
      </vt:variant>
      <vt:variant>
        <vt:i4>1966136</vt:i4>
      </vt:variant>
      <vt:variant>
        <vt:i4>252</vt:i4>
      </vt:variant>
      <vt:variant>
        <vt:i4>0</vt:i4>
      </vt:variant>
      <vt:variant>
        <vt:i4>5</vt:i4>
      </vt:variant>
      <vt:variant>
        <vt:lpwstr/>
      </vt:variant>
      <vt:variant>
        <vt:lpwstr>_Toc493082722</vt:lpwstr>
      </vt:variant>
      <vt:variant>
        <vt:i4>1966136</vt:i4>
      </vt:variant>
      <vt:variant>
        <vt:i4>246</vt:i4>
      </vt:variant>
      <vt:variant>
        <vt:i4>0</vt:i4>
      </vt:variant>
      <vt:variant>
        <vt:i4>5</vt:i4>
      </vt:variant>
      <vt:variant>
        <vt:lpwstr/>
      </vt:variant>
      <vt:variant>
        <vt:lpwstr>_Toc493082721</vt:lpwstr>
      </vt:variant>
      <vt:variant>
        <vt:i4>1966136</vt:i4>
      </vt:variant>
      <vt:variant>
        <vt:i4>240</vt:i4>
      </vt:variant>
      <vt:variant>
        <vt:i4>0</vt:i4>
      </vt:variant>
      <vt:variant>
        <vt:i4>5</vt:i4>
      </vt:variant>
      <vt:variant>
        <vt:lpwstr/>
      </vt:variant>
      <vt:variant>
        <vt:lpwstr>_Toc493082720</vt:lpwstr>
      </vt:variant>
      <vt:variant>
        <vt:i4>1900600</vt:i4>
      </vt:variant>
      <vt:variant>
        <vt:i4>234</vt:i4>
      </vt:variant>
      <vt:variant>
        <vt:i4>0</vt:i4>
      </vt:variant>
      <vt:variant>
        <vt:i4>5</vt:i4>
      </vt:variant>
      <vt:variant>
        <vt:lpwstr/>
      </vt:variant>
      <vt:variant>
        <vt:lpwstr>_Toc493082719</vt:lpwstr>
      </vt:variant>
      <vt:variant>
        <vt:i4>1900600</vt:i4>
      </vt:variant>
      <vt:variant>
        <vt:i4>228</vt:i4>
      </vt:variant>
      <vt:variant>
        <vt:i4>0</vt:i4>
      </vt:variant>
      <vt:variant>
        <vt:i4>5</vt:i4>
      </vt:variant>
      <vt:variant>
        <vt:lpwstr/>
      </vt:variant>
      <vt:variant>
        <vt:lpwstr>_Toc493082718</vt:lpwstr>
      </vt:variant>
      <vt:variant>
        <vt:i4>1900600</vt:i4>
      </vt:variant>
      <vt:variant>
        <vt:i4>222</vt:i4>
      </vt:variant>
      <vt:variant>
        <vt:i4>0</vt:i4>
      </vt:variant>
      <vt:variant>
        <vt:i4>5</vt:i4>
      </vt:variant>
      <vt:variant>
        <vt:lpwstr/>
      </vt:variant>
      <vt:variant>
        <vt:lpwstr>_Toc493082717</vt:lpwstr>
      </vt:variant>
      <vt:variant>
        <vt:i4>1900600</vt:i4>
      </vt:variant>
      <vt:variant>
        <vt:i4>216</vt:i4>
      </vt:variant>
      <vt:variant>
        <vt:i4>0</vt:i4>
      </vt:variant>
      <vt:variant>
        <vt:i4>5</vt:i4>
      </vt:variant>
      <vt:variant>
        <vt:lpwstr/>
      </vt:variant>
      <vt:variant>
        <vt:lpwstr>_Toc493082716</vt:lpwstr>
      </vt:variant>
      <vt:variant>
        <vt:i4>1900600</vt:i4>
      </vt:variant>
      <vt:variant>
        <vt:i4>210</vt:i4>
      </vt:variant>
      <vt:variant>
        <vt:i4>0</vt:i4>
      </vt:variant>
      <vt:variant>
        <vt:i4>5</vt:i4>
      </vt:variant>
      <vt:variant>
        <vt:lpwstr/>
      </vt:variant>
      <vt:variant>
        <vt:lpwstr>_Toc493082715</vt:lpwstr>
      </vt:variant>
      <vt:variant>
        <vt:i4>1900600</vt:i4>
      </vt:variant>
      <vt:variant>
        <vt:i4>204</vt:i4>
      </vt:variant>
      <vt:variant>
        <vt:i4>0</vt:i4>
      </vt:variant>
      <vt:variant>
        <vt:i4>5</vt:i4>
      </vt:variant>
      <vt:variant>
        <vt:lpwstr/>
      </vt:variant>
      <vt:variant>
        <vt:lpwstr>_Toc493082714</vt:lpwstr>
      </vt:variant>
      <vt:variant>
        <vt:i4>1900600</vt:i4>
      </vt:variant>
      <vt:variant>
        <vt:i4>198</vt:i4>
      </vt:variant>
      <vt:variant>
        <vt:i4>0</vt:i4>
      </vt:variant>
      <vt:variant>
        <vt:i4>5</vt:i4>
      </vt:variant>
      <vt:variant>
        <vt:lpwstr/>
      </vt:variant>
      <vt:variant>
        <vt:lpwstr>_Toc493082713</vt:lpwstr>
      </vt:variant>
      <vt:variant>
        <vt:i4>1900600</vt:i4>
      </vt:variant>
      <vt:variant>
        <vt:i4>192</vt:i4>
      </vt:variant>
      <vt:variant>
        <vt:i4>0</vt:i4>
      </vt:variant>
      <vt:variant>
        <vt:i4>5</vt:i4>
      </vt:variant>
      <vt:variant>
        <vt:lpwstr/>
      </vt:variant>
      <vt:variant>
        <vt:lpwstr>_Toc493082712</vt:lpwstr>
      </vt:variant>
      <vt:variant>
        <vt:i4>1900600</vt:i4>
      </vt:variant>
      <vt:variant>
        <vt:i4>186</vt:i4>
      </vt:variant>
      <vt:variant>
        <vt:i4>0</vt:i4>
      </vt:variant>
      <vt:variant>
        <vt:i4>5</vt:i4>
      </vt:variant>
      <vt:variant>
        <vt:lpwstr/>
      </vt:variant>
      <vt:variant>
        <vt:lpwstr>_Toc493082711</vt:lpwstr>
      </vt:variant>
      <vt:variant>
        <vt:i4>1900600</vt:i4>
      </vt:variant>
      <vt:variant>
        <vt:i4>180</vt:i4>
      </vt:variant>
      <vt:variant>
        <vt:i4>0</vt:i4>
      </vt:variant>
      <vt:variant>
        <vt:i4>5</vt:i4>
      </vt:variant>
      <vt:variant>
        <vt:lpwstr/>
      </vt:variant>
      <vt:variant>
        <vt:lpwstr>_Toc493082710</vt:lpwstr>
      </vt:variant>
      <vt:variant>
        <vt:i4>1835064</vt:i4>
      </vt:variant>
      <vt:variant>
        <vt:i4>174</vt:i4>
      </vt:variant>
      <vt:variant>
        <vt:i4>0</vt:i4>
      </vt:variant>
      <vt:variant>
        <vt:i4>5</vt:i4>
      </vt:variant>
      <vt:variant>
        <vt:lpwstr/>
      </vt:variant>
      <vt:variant>
        <vt:lpwstr>_Toc493082709</vt:lpwstr>
      </vt:variant>
      <vt:variant>
        <vt:i4>1835064</vt:i4>
      </vt:variant>
      <vt:variant>
        <vt:i4>168</vt:i4>
      </vt:variant>
      <vt:variant>
        <vt:i4>0</vt:i4>
      </vt:variant>
      <vt:variant>
        <vt:i4>5</vt:i4>
      </vt:variant>
      <vt:variant>
        <vt:lpwstr/>
      </vt:variant>
      <vt:variant>
        <vt:lpwstr>_Toc493082708</vt:lpwstr>
      </vt:variant>
      <vt:variant>
        <vt:i4>1835064</vt:i4>
      </vt:variant>
      <vt:variant>
        <vt:i4>162</vt:i4>
      </vt:variant>
      <vt:variant>
        <vt:i4>0</vt:i4>
      </vt:variant>
      <vt:variant>
        <vt:i4>5</vt:i4>
      </vt:variant>
      <vt:variant>
        <vt:lpwstr/>
      </vt:variant>
      <vt:variant>
        <vt:lpwstr>_Toc493082707</vt:lpwstr>
      </vt:variant>
      <vt:variant>
        <vt:i4>1835064</vt:i4>
      </vt:variant>
      <vt:variant>
        <vt:i4>156</vt:i4>
      </vt:variant>
      <vt:variant>
        <vt:i4>0</vt:i4>
      </vt:variant>
      <vt:variant>
        <vt:i4>5</vt:i4>
      </vt:variant>
      <vt:variant>
        <vt:lpwstr/>
      </vt:variant>
      <vt:variant>
        <vt:lpwstr>_Toc493082706</vt:lpwstr>
      </vt:variant>
      <vt:variant>
        <vt:i4>1835064</vt:i4>
      </vt:variant>
      <vt:variant>
        <vt:i4>150</vt:i4>
      </vt:variant>
      <vt:variant>
        <vt:i4>0</vt:i4>
      </vt:variant>
      <vt:variant>
        <vt:i4>5</vt:i4>
      </vt:variant>
      <vt:variant>
        <vt:lpwstr/>
      </vt:variant>
      <vt:variant>
        <vt:lpwstr>_Toc493082705</vt:lpwstr>
      </vt:variant>
      <vt:variant>
        <vt:i4>1835064</vt:i4>
      </vt:variant>
      <vt:variant>
        <vt:i4>144</vt:i4>
      </vt:variant>
      <vt:variant>
        <vt:i4>0</vt:i4>
      </vt:variant>
      <vt:variant>
        <vt:i4>5</vt:i4>
      </vt:variant>
      <vt:variant>
        <vt:lpwstr/>
      </vt:variant>
      <vt:variant>
        <vt:lpwstr>_Toc493082704</vt:lpwstr>
      </vt:variant>
      <vt:variant>
        <vt:i4>1835064</vt:i4>
      </vt:variant>
      <vt:variant>
        <vt:i4>138</vt:i4>
      </vt:variant>
      <vt:variant>
        <vt:i4>0</vt:i4>
      </vt:variant>
      <vt:variant>
        <vt:i4>5</vt:i4>
      </vt:variant>
      <vt:variant>
        <vt:lpwstr/>
      </vt:variant>
      <vt:variant>
        <vt:lpwstr>_Toc493082703</vt:lpwstr>
      </vt:variant>
      <vt:variant>
        <vt:i4>1835064</vt:i4>
      </vt:variant>
      <vt:variant>
        <vt:i4>132</vt:i4>
      </vt:variant>
      <vt:variant>
        <vt:i4>0</vt:i4>
      </vt:variant>
      <vt:variant>
        <vt:i4>5</vt:i4>
      </vt:variant>
      <vt:variant>
        <vt:lpwstr/>
      </vt:variant>
      <vt:variant>
        <vt:lpwstr>_Toc493082702</vt:lpwstr>
      </vt:variant>
      <vt:variant>
        <vt:i4>1835064</vt:i4>
      </vt:variant>
      <vt:variant>
        <vt:i4>126</vt:i4>
      </vt:variant>
      <vt:variant>
        <vt:i4>0</vt:i4>
      </vt:variant>
      <vt:variant>
        <vt:i4>5</vt:i4>
      </vt:variant>
      <vt:variant>
        <vt:lpwstr/>
      </vt:variant>
      <vt:variant>
        <vt:lpwstr>_Toc493082701</vt:lpwstr>
      </vt:variant>
      <vt:variant>
        <vt:i4>1835064</vt:i4>
      </vt:variant>
      <vt:variant>
        <vt:i4>120</vt:i4>
      </vt:variant>
      <vt:variant>
        <vt:i4>0</vt:i4>
      </vt:variant>
      <vt:variant>
        <vt:i4>5</vt:i4>
      </vt:variant>
      <vt:variant>
        <vt:lpwstr/>
      </vt:variant>
      <vt:variant>
        <vt:lpwstr>_Toc493082700</vt:lpwstr>
      </vt:variant>
      <vt:variant>
        <vt:i4>1376313</vt:i4>
      </vt:variant>
      <vt:variant>
        <vt:i4>114</vt:i4>
      </vt:variant>
      <vt:variant>
        <vt:i4>0</vt:i4>
      </vt:variant>
      <vt:variant>
        <vt:i4>5</vt:i4>
      </vt:variant>
      <vt:variant>
        <vt:lpwstr/>
      </vt:variant>
      <vt:variant>
        <vt:lpwstr>_Toc493082699</vt:lpwstr>
      </vt:variant>
      <vt:variant>
        <vt:i4>1376313</vt:i4>
      </vt:variant>
      <vt:variant>
        <vt:i4>108</vt:i4>
      </vt:variant>
      <vt:variant>
        <vt:i4>0</vt:i4>
      </vt:variant>
      <vt:variant>
        <vt:i4>5</vt:i4>
      </vt:variant>
      <vt:variant>
        <vt:lpwstr/>
      </vt:variant>
      <vt:variant>
        <vt:lpwstr>_Toc493082698</vt:lpwstr>
      </vt:variant>
      <vt:variant>
        <vt:i4>1376313</vt:i4>
      </vt:variant>
      <vt:variant>
        <vt:i4>102</vt:i4>
      </vt:variant>
      <vt:variant>
        <vt:i4>0</vt:i4>
      </vt:variant>
      <vt:variant>
        <vt:i4>5</vt:i4>
      </vt:variant>
      <vt:variant>
        <vt:lpwstr/>
      </vt:variant>
      <vt:variant>
        <vt:lpwstr>_Toc493082697</vt:lpwstr>
      </vt:variant>
      <vt:variant>
        <vt:i4>1376313</vt:i4>
      </vt:variant>
      <vt:variant>
        <vt:i4>96</vt:i4>
      </vt:variant>
      <vt:variant>
        <vt:i4>0</vt:i4>
      </vt:variant>
      <vt:variant>
        <vt:i4>5</vt:i4>
      </vt:variant>
      <vt:variant>
        <vt:lpwstr/>
      </vt:variant>
      <vt:variant>
        <vt:lpwstr>_Toc493082696</vt:lpwstr>
      </vt:variant>
      <vt:variant>
        <vt:i4>1376313</vt:i4>
      </vt:variant>
      <vt:variant>
        <vt:i4>90</vt:i4>
      </vt:variant>
      <vt:variant>
        <vt:i4>0</vt:i4>
      </vt:variant>
      <vt:variant>
        <vt:i4>5</vt:i4>
      </vt:variant>
      <vt:variant>
        <vt:lpwstr/>
      </vt:variant>
      <vt:variant>
        <vt:lpwstr>_Toc493082695</vt:lpwstr>
      </vt:variant>
      <vt:variant>
        <vt:i4>1376313</vt:i4>
      </vt:variant>
      <vt:variant>
        <vt:i4>84</vt:i4>
      </vt:variant>
      <vt:variant>
        <vt:i4>0</vt:i4>
      </vt:variant>
      <vt:variant>
        <vt:i4>5</vt:i4>
      </vt:variant>
      <vt:variant>
        <vt:lpwstr/>
      </vt:variant>
      <vt:variant>
        <vt:lpwstr>_Toc493082694</vt:lpwstr>
      </vt:variant>
      <vt:variant>
        <vt:i4>1376313</vt:i4>
      </vt:variant>
      <vt:variant>
        <vt:i4>78</vt:i4>
      </vt:variant>
      <vt:variant>
        <vt:i4>0</vt:i4>
      </vt:variant>
      <vt:variant>
        <vt:i4>5</vt:i4>
      </vt:variant>
      <vt:variant>
        <vt:lpwstr/>
      </vt:variant>
      <vt:variant>
        <vt:lpwstr>_Toc493082693</vt:lpwstr>
      </vt:variant>
      <vt:variant>
        <vt:i4>1376313</vt:i4>
      </vt:variant>
      <vt:variant>
        <vt:i4>72</vt:i4>
      </vt:variant>
      <vt:variant>
        <vt:i4>0</vt:i4>
      </vt:variant>
      <vt:variant>
        <vt:i4>5</vt:i4>
      </vt:variant>
      <vt:variant>
        <vt:lpwstr/>
      </vt:variant>
      <vt:variant>
        <vt:lpwstr>_Toc493082692</vt:lpwstr>
      </vt:variant>
      <vt:variant>
        <vt:i4>1376313</vt:i4>
      </vt:variant>
      <vt:variant>
        <vt:i4>66</vt:i4>
      </vt:variant>
      <vt:variant>
        <vt:i4>0</vt:i4>
      </vt:variant>
      <vt:variant>
        <vt:i4>5</vt:i4>
      </vt:variant>
      <vt:variant>
        <vt:lpwstr/>
      </vt:variant>
      <vt:variant>
        <vt:lpwstr>_Toc493082691</vt:lpwstr>
      </vt:variant>
      <vt:variant>
        <vt:i4>1376313</vt:i4>
      </vt:variant>
      <vt:variant>
        <vt:i4>60</vt:i4>
      </vt:variant>
      <vt:variant>
        <vt:i4>0</vt:i4>
      </vt:variant>
      <vt:variant>
        <vt:i4>5</vt:i4>
      </vt:variant>
      <vt:variant>
        <vt:lpwstr/>
      </vt:variant>
      <vt:variant>
        <vt:lpwstr>_Toc493082690</vt:lpwstr>
      </vt:variant>
      <vt:variant>
        <vt:i4>1310777</vt:i4>
      </vt:variant>
      <vt:variant>
        <vt:i4>54</vt:i4>
      </vt:variant>
      <vt:variant>
        <vt:i4>0</vt:i4>
      </vt:variant>
      <vt:variant>
        <vt:i4>5</vt:i4>
      </vt:variant>
      <vt:variant>
        <vt:lpwstr/>
      </vt:variant>
      <vt:variant>
        <vt:lpwstr>_Toc493082689</vt:lpwstr>
      </vt:variant>
      <vt:variant>
        <vt:i4>1310777</vt:i4>
      </vt:variant>
      <vt:variant>
        <vt:i4>48</vt:i4>
      </vt:variant>
      <vt:variant>
        <vt:i4>0</vt:i4>
      </vt:variant>
      <vt:variant>
        <vt:i4>5</vt:i4>
      </vt:variant>
      <vt:variant>
        <vt:lpwstr/>
      </vt:variant>
      <vt:variant>
        <vt:lpwstr>_Toc493082688</vt:lpwstr>
      </vt:variant>
      <vt:variant>
        <vt:i4>1310777</vt:i4>
      </vt:variant>
      <vt:variant>
        <vt:i4>42</vt:i4>
      </vt:variant>
      <vt:variant>
        <vt:i4>0</vt:i4>
      </vt:variant>
      <vt:variant>
        <vt:i4>5</vt:i4>
      </vt:variant>
      <vt:variant>
        <vt:lpwstr/>
      </vt:variant>
      <vt:variant>
        <vt:lpwstr>_Toc493082687</vt:lpwstr>
      </vt:variant>
      <vt:variant>
        <vt:i4>1310777</vt:i4>
      </vt:variant>
      <vt:variant>
        <vt:i4>36</vt:i4>
      </vt:variant>
      <vt:variant>
        <vt:i4>0</vt:i4>
      </vt:variant>
      <vt:variant>
        <vt:i4>5</vt:i4>
      </vt:variant>
      <vt:variant>
        <vt:lpwstr/>
      </vt:variant>
      <vt:variant>
        <vt:lpwstr>_Toc493082686</vt:lpwstr>
      </vt:variant>
      <vt:variant>
        <vt:i4>1310777</vt:i4>
      </vt:variant>
      <vt:variant>
        <vt:i4>30</vt:i4>
      </vt:variant>
      <vt:variant>
        <vt:i4>0</vt:i4>
      </vt:variant>
      <vt:variant>
        <vt:i4>5</vt:i4>
      </vt:variant>
      <vt:variant>
        <vt:lpwstr/>
      </vt:variant>
      <vt:variant>
        <vt:lpwstr>_Toc493082685</vt:lpwstr>
      </vt:variant>
      <vt:variant>
        <vt:i4>1310777</vt:i4>
      </vt:variant>
      <vt:variant>
        <vt:i4>24</vt:i4>
      </vt:variant>
      <vt:variant>
        <vt:i4>0</vt:i4>
      </vt:variant>
      <vt:variant>
        <vt:i4>5</vt:i4>
      </vt:variant>
      <vt:variant>
        <vt:lpwstr/>
      </vt:variant>
      <vt:variant>
        <vt:lpwstr>_Toc493082684</vt:lpwstr>
      </vt:variant>
      <vt:variant>
        <vt:i4>1310777</vt:i4>
      </vt:variant>
      <vt:variant>
        <vt:i4>18</vt:i4>
      </vt:variant>
      <vt:variant>
        <vt:i4>0</vt:i4>
      </vt:variant>
      <vt:variant>
        <vt:i4>5</vt:i4>
      </vt:variant>
      <vt:variant>
        <vt:lpwstr/>
      </vt:variant>
      <vt:variant>
        <vt:lpwstr>_Toc493082683</vt:lpwstr>
      </vt:variant>
      <vt:variant>
        <vt:i4>1310777</vt:i4>
      </vt:variant>
      <vt:variant>
        <vt:i4>12</vt:i4>
      </vt:variant>
      <vt:variant>
        <vt:i4>0</vt:i4>
      </vt:variant>
      <vt:variant>
        <vt:i4>5</vt:i4>
      </vt:variant>
      <vt:variant>
        <vt:lpwstr/>
      </vt:variant>
      <vt:variant>
        <vt:lpwstr>_Toc493082682</vt:lpwstr>
      </vt:variant>
      <vt:variant>
        <vt:i4>1310777</vt:i4>
      </vt:variant>
      <vt:variant>
        <vt:i4>6</vt:i4>
      </vt:variant>
      <vt:variant>
        <vt:i4>0</vt:i4>
      </vt:variant>
      <vt:variant>
        <vt:i4>5</vt:i4>
      </vt:variant>
      <vt:variant>
        <vt:lpwstr/>
      </vt:variant>
      <vt:variant>
        <vt:lpwstr>_Toc493082681</vt:lpwstr>
      </vt:variant>
      <vt:variant>
        <vt:i4>7929897</vt:i4>
      </vt:variant>
      <vt:variant>
        <vt:i4>9</vt:i4>
      </vt:variant>
      <vt:variant>
        <vt:i4>0</vt:i4>
      </vt:variant>
      <vt:variant>
        <vt:i4>5</vt:i4>
      </vt:variant>
      <vt:variant>
        <vt:lpwstr>http://ssrn.com/abstract=886504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2017-10-30T19:22:00Z</dcterms:created>
  <dcterms:modified xsi:type="dcterms:W3CDTF">2017-10-30T19:22:00Z</dcterms:modified>
</cp:coreProperties>
</file>